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3A239" w14:textId="25E080F8" w:rsidR="00074539" w:rsidRDefault="00BD72E3" w:rsidP="00BD72E3">
      <w:pPr>
        <w:jc w:val="center"/>
        <w:rPr>
          <w:rFonts w:cstheme="minorHAnsi"/>
          <w:b/>
          <w:bCs/>
          <w:sz w:val="24"/>
          <w:szCs w:val="24"/>
          <w:lang w:val="en-US"/>
        </w:rPr>
      </w:pPr>
      <w:r w:rsidRPr="00B627B0">
        <w:rPr>
          <w:rFonts w:cstheme="minorHAnsi"/>
          <w:b/>
          <w:bCs/>
          <w:sz w:val="24"/>
          <w:szCs w:val="24"/>
          <w:lang w:val="en-US"/>
        </w:rPr>
        <w:t>Supplementary Information</w:t>
      </w:r>
    </w:p>
    <w:p w14:paraId="30C05EB2" w14:textId="5EFD99C5" w:rsidR="00C62E43" w:rsidRDefault="00C62E43" w:rsidP="00BD72E3">
      <w:pPr>
        <w:jc w:val="center"/>
        <w:rPr>
          <w:rFonts w:cstheme="minorHAnsi"/>
          <w:b/>
          <w:bCs/>
          <w:sz w:val="24"/>
          <w:szCs w:val="24"/>
          <w:lang w:val="en-US"/>
        </w:rPr>
      </w:pPr>
    </w:p>
    <w:p w14:paraId="406D8ECF" w14:textId="3BD7D27E" w:rsidR="00C62E43" w:rsidRDefault="00C62E43" w:rsidP="00C62E43">
      <w:pPr>
        <w:rPr>
          <w:rFonts w:cstheme="minorHAnsi"/>
        </w:rPr>
      </w:pPr>
      <w:r w:rsidRPr="00504469">
        <w:rPr>
          <w:rFonts w:cstheme="minorHAnsi"/>
          <w:noProof/>
          <w:color w:val="000000" w:themeColor="text1"/>
        </w:rPr>
        <w:drawing>
          <wp:inline distT="0" distB="0" distL="0" distR="0" wp14:anchorId="65FE7D4C" wp14:editId="6F19AB04">
            <wp:extent cx="5943600" cy="2087245"/>
            <wp:effectExtent l="0" t="0" r="0" b="8255"/>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5"/>
                    <a:stretch>
                      <a:fillRect/>
                    </a:stretch>
                  </pic:blipFill>
                  <pic:spPr>
                    <a:xfrm>
                      <a:off x="0" y="0"/>
                      <a:ext cx="5943600" cy="2087245"/>
                    </a:xfrm>
                    <a:prstGeom prst="rect">
                      <a:avLst/>
                    </a:prstGeom>
                  </pic:spPr>
                </pic:pic>
              </a:graphicData>
            </a:graphic>
          </wp:inline>
        </w:drawing>
      </w:r>
    </w:p>
    <w:p w14:paraId="460C6EAB" w14:textId="596CCD70" w:rsidR="00C62E43" w:rsidRDefault="00C62E43" w:rsidP="00C62E43">
      <w:pPr>
        <w:spacing w:line="360" w:lineRule="auto"/>
        <w:jc w:val="both"/>
        <w:rPr>
          <w:rFonts w:cstheme="minorHAnsi"/>
          <w:color w:val="000000" w:themeColor="text1"/>
          <w:sz w:val="18"/>
          <w:szCs w:val="18"/>
        </w:rPr>
      </w:pPr>
      <w:r w:rsidRPr="00C62E43">
        <w:rPr>
          <w:rFonts w:cstheme="minorHAnsi"/>
          <w:sz w:val="18"/>
          <w:szCs w:val="18"/>
        </w:rPr>
        <w:t>Figure S1: Correlation between age and memory performance. A) Item Memory score (</w:t>
      </w:r>
      <w:r w:rsidR="00B627B0">
        <w:rPr>
          <w:rFonts w:cstheme="minorHAnsi"/>
          <w:sz w:val="18"/>
          <w:szCs w:val="18"/>
        </w:rPr>
        <w:t xml:space="preserve">% </w:t>
      </w:r>
      <w:r w:rsidRPr="00C62E43">
        <w:rPr>
          <w:rFonts w:cstheme="minorHAnsi"/>
          <w:sz w:val="18"/>
          <w:szCs w:val="18"/>
        </w:rPr>
        <w:t xml:space="preserve">hits minus </w:t>
      </w:r>
      <w:r w:rsidR="00B627B0">
        <w:rPr>
          <w:rFonts w:cstheme="minorHAnsi"/>
          <w:sz w:val="18"/>
          <w:szCs w:val="18"/>
        </w:rPr>
        <w:t xml:space="preserve">% </w:t>
      </w:r>
      <w:r w:rsidRPr="00C62E43">
        <w:rPr>
          <w:rFonts w:cstheme="minorHAnsi"/>
          <w:sz w:val="18"/>
          <w:szCs w:val="18"/>
        </w:rPr>
        <w:t>false alarms). B) Associative Memory Score (number of background scenes correctly recalled).</w:t>
      </w:r>
      <w:r w:rsidRPr="00C62E43">
        <w:rPr>
          <w:rFonts w:cstheme="minorHAnsi"/>
          <w:color w:val="000000" w:themeColor="text1"/>
          <w:sz w:val="18"/>
          <w:szCs w:val="18"/>
        </w:rPr>
        <w:t xml:space="preserve"> Memory scores represent the average score across val</w:t>
      </w:r>
      <w:r w:rsidR="00110B31">
        <w:rPr>
          <w:rFonts w:cstheme="minorHAnsi"/>
          <w:color w:val="000000" w:themeColor="text1"/>
          <w:sz w:val="18"/>
          <w:szCs w:val="18"/>
        </w:rPr>
        <w:t>e</w:t>
      </w:r>
      <w:r w:rsidRPr="00C62E43">
        <w:rPr>
          <w:rFonts w:cstheme="minorHAnsi"/>
          <w:color w:val="000000" w:themeColor="text1"/>
          <w:sz w:val="18"/>
          <w:szCs w:val="18"/>
        </w:rPr>
        <w:t>nce of the background image (positive, neutral, and negative).</w:t>
      </w:r>
    </w:p>
    <w:p w14:paraId="3E12203F" w14:textId="77777777" w:rsidR="00110B31" w:rsidRPr="00C62E43" w:rsidRDefault="00110B31" w:rsidP="00C62E43">
      <w:pPr>
        <w:spacing w:line="360" w:lineRule="auto"/>
        <w:jc w:val="both"/>
        <w:rPr>
          <w:rFonts w:cstheme="minorHAnsi"/>
          <w:color w:val="000000" w:themeColor="text1"/>
          <w:sz w:val="18"/>
          <w:szCs w:val="18"/>
        </w:rPr>
      </w:pPr>
    </w:p>
    <w:p w14:paraId="3F7E20A5" w14:textId="71C9A184" w:rsidR="00BD72E3" w:rsidRDefault="00A44C6B" w:rsidP="00BD72E3">
      <w:pPr>
        <w:jc w:val="both"/>
        <w:rPr>
          <w:rFonts w:cstheme="minorHAnsi"/>
          <w:b/>
          <w:bCs/>
          <w:sz w:val="24"/>
          <w:szCs w:val="24"/>
          <w:lang w:val="en-US"/>
        </w:rPr>
      </w:pPr>
      <w:r>
        <w:rPr>
          <w:noProof/>
        </w:rPr>
        <w:drawing>
          <wp:inline distT="0" distB="0" distL="0" distR="0" wp14:anchorId="2D73F115" wp14:editId="1B061E62">
            <wp:extent cx="5886450" cy="3511550"/>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6450" cy="3511550"/>
                    </a:xfrm>
                    <a:prstGeom prst="rect">
                      <a:avLst/>
                    </a:prstGeom>
                    <a:noFill/>
                    <a:ln>
                      <a:noFill/>
                    </a:ln>
                  </pic:spPr>
                </pic:pic>
              </a:graphicData>
            </a:graphic>
          </wp:inline>
        </w:drawing>
      </w:r>
    </w:p>
    <w:p w14:paraId="57BFAC42" w14:textId="65AEF734" w:rsidR="00BD72E3" w:rsidRDefault="00BD72E3" w:rsidP="00BD72E3">
      <w:pPr>
        <w:spacing w:after="0" w:line="240" w:lineRule="auto"/>
        <w:jc w:val="both"/>
        <w:rPr>
          <w:rFonts w:cstheme="minorHAnsi"/>
          <w:color w:val="000000" w:themeColor="text1"/>
          <w:sz w:val="18"/>
          <w:szCs w:val="18"/>
        </w:rPr>
      </w:pPr>
      <w:r w:rsidRPr="006D1352">
        <w:rPr>
          <w:rFonts w:cstheme="minorHAnsi"/>
          <w:sz w:val="18"/>
          <w:szCs w:val="18"/>
        </w:rPr>
        <w:t xml:space="preserve">Figure </w:t>
      </w:r>
      <w:r>
        <w:rPr>
          <w:rFonts w:cstheme="minorHAnsi"/>
          <w:sz w:val="18"/>
          <w:szCs w:val="18"/>
        </w:rPr>
        <w:t>S</w:t>
      </w:r>
      <w:r w:rsidR="00C62E43">
        <w:rPr>
          <w:rFonts w:cstheme="minorHAnsi"/>
          <w:sz w:val="18"/>
          <w:szCs w:val="18"/>
        </w:rPr>
        <w:t>2</w:t>
      </w:r>
      <w:r>
        <w:rPr>
          <w:rFonts w:cstheme="minorHAnsi"/>
          <w:sz w:val="18"/>
          <w:szCs w:val="18"/>
        </w:rPr>
        <w:t xml:space="preserve">: Correlation between age and memory performance split by valance of the background image. </w:t>
      </w:r>
      <w:r w:rsidR="00151424">
        <w:rPr>
          <w:rFonts w:cstheme="minorHAnsi"/>
          <w:sz w:val="18"/>
          <w:szCs w:val="18"/>
        </w:rPr>
        <w:t>Top panel:</w:t>
      </w:r>
      <w:r>
        <w:rPr>
          <w:rFonts w:cstheme="minorHAnsi"/>
          <w:sz w:val="18"/>
          <w:szCs w:val="18"/>
        </w:rPr>
        <w:t xml:space="preserve"> Item Memory. </w:t>
      </w:r>
      <w:r w:rsidR="00151424">
        <w:rPr>
          <w:rFonts w:cstheme="minorHAnsi"/>
          <w:sz w:val="18"/>
          <w:szCs w:val="18"/>
        </w:rPr>
        <w:t>Bottom panel:</w:t>
      </w:r>
      <w:r>
        <w:rPr>
          <w:rFonts w:cstheme="minorHAnsi"/>
          <w:sz w:val="18"/>
          <w:szCs w:val="18"/>
        </w:rPr>
        <w:t xml:space="preserve"> Association Memory.</w:t>
      </w:r>
      <w:r w:rsidRPr="006D1352">
        <w:rPr>
          <w:rFonts w:cstheme="minorHAnsi"/>
          <w:color w:val="000000" w:themeColor="text1"/>
          <w:sz w:val="18"/>
          <w:szCs w:val="18"/>
        </w:rPr>
        <w:t xml:space="preserve"> </w:t>
      </w:r>
    </w:p>
    <w:p w14:paraId="284770D0" w14:textId="459015A4" w:rsidR="00BD72E3" w:rsidRDefault="00BD72E3" w:rsidP="00BD72E3">
      <w:pPr>
        <w:jc w:val="both"/>
        <w:rPr>
          <w:rFonts w:cstheme="minorHAnsi"/>
          <w:b/>
          <w:bCs/>
          <w:sz w:val="24"/>
          <w:szCs w:val="24"/>
        </w:rPr>
      </w:pPr>
    </w:p>
    <w:p w14:paraId="0D09A0E1" w14:textId="6CD43278" w:rsidR="00C62E43" w:rsidRDefault="00C62E43" w:rsidP="00C62E43">
      <w:pPr>
        <w:jc w:val="both"/>
        <w:rPr>
          <w:rFonts w:cstheme="minorHAnsi"/>
          <w:color w:val="000000" w:themeColor="text1"/>
          <w:sz w:val="18"/>
          <w:szCs w:val="18"/>
        </w:rPr>
      </w:pPr>
    </w:p>
    <w:p w14:paraId="73FB057B" w14:textId="395868B8" w:rsidR="00CE3D34" w:rsidRDefault="00CE3D34" w:rsidP="00C62E43">
      <w:pPr>
        <w:spacing w:after="0" w:line="240" w:lineRule="auto"/>
        <w:jc w:val="both"/>
        <w:rPr>
          <w:rFonts w:cstheme="minorHAnsi"/>
          <w:sz w:val="18"/>
          <w:szCs w:val="18"/>
        </w:rPr>
      </w:pPr>
    </w:p>
    <w:p w14:paraId="6A77439C" w14:textId="136119EB" w:rsidR="00B34487" w:rsidRDefault="003F1E9B" w:rsidP="00C62E43">
      <w:pPr>
        <w:spacing w:after="0" w:line="240" w:lineRule="auto"/>
        <w:jc w:val="both"/>
        <w:rPr>
          <w:rFonts w:cstheme="minorHAnsi"/>
          <w:sz w:val="18"/>
          <w:szCs w:val="18"/>
        </w:rPr>
      </w:pPr>
      <w:r>
        <w:rPr>
          <w:noProof/>
        </w:rPr>
        <w:drawing>
          <wp:inline distT="0" distB="0" distL="0" distR="0" wp14:anchorId="612CA125" wp14:editId="2B6A048C">
            <wp:extent cx="5791200" cy="4412824"/>
            <wp:effectExtent l="0" t="0" r="0" b="6985"/>
            <wp:docPr id="3" name="Picture 3"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2848" r="4466"/>
                    <a:stretch/>
                  </pic:blipFill>
                  <pic:spPr bwMode="auto">
                    <a:xfrm>
                      <a:off x="0" y="0"/>
                      <a:ext cx="5793898" cy="4414880"/>
                    </a:xfrm>
                    <a:prstGeom prst="rect">
                      <a:avLst/>
                    </a:prstGeom>
                    <a:noFill/>
                    <a:ln>
                      <a:noFill/>
                    </a:ln>
                    <a:extLst>
                      <a:ext uri="{53640926-AAD7-44D8-BBD7-CCE9431645EC}">
                        <a14:shadowObscured xmlns:a14="http://schemas.microsoft.com/office/drawing/2010/main"/>
                      </a:ext>
                    </a:extLst>
                  </pic:spPr>
                </pic:pic>
              </a:graphicData>
            </a:graphic>
          </wp:inline>
        </w:drawing>
      </w:r>
    </w:p>
    <w:p w14:paraId="456D806D" w14:textId="510BE23E" w:rsidR="00CE3D34" w:rsidRDefault="00C62E43" w:rsidP="00C62E43">
      <w:pPr>
        <w:spacing w:after="0" w:line="240" w:lineRule="auto"/>
        <w:jc w:val="both"/>
        <w:rPr>
          <w:rFonts w:cstheme="minorHAnsi"/>
          <w:sz w:val="18"/>
          <w:szCs w:val="18"/>
        </w:rPr>
      </w:pPr>
      <w:r w:rsidRPr="00C62E43">
        <w:rPr>
          <w:rFonts w:cstheme="minorHAnsi"/>
          <w:sz w:val="18"/>
          <w:szCs w:val="18"/>
        </w:rPr>
        <w:t xml:space="preserve">Figure </w:t>
      </w:r>
      <w:r>
        <w:rPr>
          <w:rFonts w:cstheme="minorHAnsi"/>
          <w:sz w:val="18"/>
          <w:szCs w:val="18"/>
        </w:rPr>
        <w:t>S3</w:t>
      </w:r>
      <w:r w:rsidRPr="00C62E43">
        <w:rPr>
          <w:rFonts w:cstheme="minorHAnsi"/>
          <w:sz w:val="18"/>
          <w:szCs w:val="18"/>
        </w:rPr>
        <w:t xml:space="preserve">: Correlation between age and grey matter volume in medial temporal lobe structures. </w:t>
      </w:r>
      <w:r w:rsidRPr="00C62E43">
        <w:rPr>
          <w:rFonts w:cstheme="minorHAnsi"/>
          <w:sz w:val="18"/>
          <w:szCs w:val="18"/>
          <w:lang w:val="pt-BR"/>
        </w:rPr>
        <w:t>A) Anterior hippocampus. B) Posterior hippocampus. C) Amygdala. D)</w:t>
      </w:r>
      <w:r w:rsidRPr="00C62E43">
        <w:rPr>
          <w:sz w:val="18"/>
          <w:szCs w:val="18"/>
          <w:lang w:val="pt-BR"/>
        </w:rPr>
        <w:t xml:space="preserve"> </w:t>
      </w:r>
      <w:r w:rsidRPr="00C62E43">
        <w:rPr>
          <w:rFonts w:cstheme="minorHAnsi"/>
          <w:sz w:val="18"/>
          <w:szCs w:val="18"/>
          <w:lang w:val="pt-BR"/>
        </w:rPr>
        <w:t xml:space="preserve">Entorhinal cortex. E) Perirhinal cortex - Br35. F) Perirhinal cortex - Br36. G) Parahippocampal cortex. </w:t>
      </w:r>
      <w:r w:rsidRPr="00C62E43">
        <w:rPr>
          <w:rFonts w:cstheme="minorHAnsi"/>
          <w:sz w:val="18"/>
          <w:szCs w:val="18"/>
        </w:rPr>
        <w:t>Volumes shown represent the sum of both left and right hemispheres.</w:t>
      </w:r>
      <w:r w:rsidRPr="00C62E43">
        <w:rPr>
          <w:rFonts w:cstheme="minorHAnsi"/>
          <w:color w:val="000000" w:themeColor="text1"/>
          <w:sz w:val="18"/>
          <w:szCs w:val="18"/>
        </w:rPr>
        <w:t xml:space="preserve"> Plots for each hemisphere are </w:t>
      </w:r>
      <w:r w:rsidR="003E35DE">
        <w:rPr>
          <w:rFonts w:cstheme="minorHAnsi"/>
          <w:color w:val="000000" w:themeColor="text1"/>
          <w:sz w:val="18"/>
          <w:szCs w:val="18"/>
        </w:rPr>
        <w:t>shown below</w:t>
      </w:r>
      <w:r w:rsidRPr="00711830">
        <w:rPr>
          <w:rFonts w:cstheme="minorHAnsi"/>
          <w:sz w:val="18"/>
          <w:szCs w:val="18"/>
        </w:rPr>
        <w:t>.</w:t>
      </w:r>
    </w:p>
    <w:p w14:paraId="17078E48" w14:textId="77777777" w:rsidR="00CE3D34" w:rsidRDefault="00CE3D34">
      <w:pPr>
        <w:rPr>
          <w:rFonts w:cstheme="minorHAnsi"/>
          <w:sz w:val="18"/>
          <w:szCs w:val="18"/>
        </w:rPr>
      </w:pPr>
      <w:r>
        <w:rPr>
          <w:rFonts w:cstheme="minorHAnsi"/>
          <w:sz w:val="18"/>
          <w:szCs w:val="18"/>
        </w:rPr>
        <w:br w:type="page"/>
      </w:r>
    </w:p>
    <w:p w14:paraId="220BE5CE" w14:textId="6544BA2D" w:rsidR="00C62E43" w:rsidRDefault="003F1E9B" w:rsidP="00C62E43">
      <w:pPr>
        <w:spacing w:line="360" w:lineRule="auto"/>
        <w:jc w:val="center"/>
        <w:rPr>
          <w:rFonts w:cstheme="minorHAnsi"/>
          <w:color w:val="000000" w:themeColor="text1"/>
        </w:rPr>
      </w:pPr>
      <w:r>
        <w:rPr>
          <w:noProof/>
        </w:rPr>
        <w:lastRenderedPageBreak/>
        <w:drawing>
          <wp:inline distT="0" distB="0" distL="0" distR="0" wp14:anchorId="3C4AD65A" wp14:editId="25C0400D">
            <wp:extent cx="5755640" cy="3473667"/>
            <wp:effectExtent l="0" t="0" r="0" b="0"/>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5955" r="5890" b="5409"/>
                    <a:stretch/>
                  </pic:blipFill>
                  <pic:spPr bwMode="auto">
                    <a:xfrm>
                      <a:off x="0" y="0"/>
                      <a:ext cx="5763513" cy="3478418"/>
                    </a:xfrm>
                    <a:prstGeom prst="rect">
                      <a:avLst/>
                    </a:prstGeom>
                    <a:noFill/>
                    <a:ln>
                      <a:noFill/>
                    </a:ln>
                    <a:extLst>
                      <a:ext uri="{53640926-AAD7-44D8-BBD7-CCE9431645EC}">
                        <a14:shadowObscured xmlns:a14="http://schemas.microsoft.com/office/drawing/2010/main"/>
                      </a:ext>
                    </a:extLst>
                  </pic:spPr>
                </pic:pic>
              </a:graphicData>
            </a:graphic>
          </wp:inline>
        </w:drawing>
      </w:r>
    </w:p>
    <w:p w14:paraId="3D7BCE7A" w14:textId="7EA5724F" w:rsidR="00C62E43" w:rsidRPr="00C62E43" w:rsidRDefault="00C62E43" w:rsidP="00C62E43">
      <w:pPr>
        <w:spacing w:after="0" w:line="240" w:lineRule="auto"/>
        <w:jc w:val="both"/>
        <w:rPr>
          <w:rFonts w:cstheme="minorHAnsi"/>
          <w:sz w:val="18"/>
          <w:szCs w:val="18"/>
        </w:rPr>
      </w:pPr>
      <w:r w:rsidRPr="00C62E43">
        <w:rPr>
          <w:rFonts w:cstheme="minorHAnsi"/>
          <w:sz w:val="18"/>
          <w:szCs w:val="18"/>
        </w:rPr>
        <w:t>Figure S4: Correlation between age and grey matter volume in frontal lobe structures. A) Inferior frontal gyrus - Pars opercularis. B) Inferior frontal gyrus - Pars orbitalis. C) Inferior frontal gyrus - Pars triangularis. D)</w:t>
      </w:r>
      <w:r w:rsidRPr="00C62E43">
        <w:rPr>
          <w:sz w:val="18"/>
          <w:szCs w:val="18"/>
        </w:rPr>
        <w:t xml:space="preserve"> </w:t>
      </w:r>
      <w:r w:rsidRPr="00C62E43">
        <w:rPr>
          <w:rFonts w:cstheme="minorHAnsi"/>
          <w:sz w:val="18"/>
          <w:szCs w:val="18"/>
        </w:rPr>
        <w:t>Middle frontal gyrus. E) Superior frontal gyrus. F) Orbital sulci (H-shaped sulci). Volumes shown represent the sum of both left and right hemispheres.</w:t>
      </w:r>
      <w:r w:rsidRPr="00C62E43">
        <w:rPr>
          <w:rFonts w:cstheme="minorHAnsi"/>
          <w:color w:val="000000" w:themeColor="text1"/>
          <w:sz w:val="18"/>
          <w:szCs w:val="18"/>
        </w:rPr>
        <w:t xml:space="preserve"> Plots for each hemisphere are </w:t>
      </w:r>
      <w:r w:rsidR="00FB4977">
        <w:rPr>
          <w:rFonts w:cstheme="minorHAnsi"/>
          <w:color w:val="000000" w:themeColor="text1"/>
          <w:sz w:val="18"/>
          <w:szCs w:val="18"/>
        </w:rPr>
        <w:t>shown below</w:t>
      </w:r>
      <w:r w:rsidRPr="00711830">
        <w:rPr>
          <w:rFonts w:cstheme="minorHAnsi"/>
          <w:sz w:val="18"/>
          <w:szCs w:val="18"/>
        </w:rPr>
        <w:t>.</w:t>
      </w:r>
    </w:p>
    <w:p w14:paraId="51ACF277" w14:textId="77777777" w:rsidR="00C62E43" w:rsidRDefault="00C62E43" w:rsidP="00C62E43">
      <w:pPr>
        <w:spacing w:after="0" w:line="240" w:lineRule="auto"/>
        <w:jc w:val="both"/>
        <w:rPr>
          <w:rFonts w:cstheme="minorHAnsi"/>
          <w:sz w:val="18"/>
          <w:szCs w:val="18"/>
        </w:rPr>
      </w:pPr>
    </w:p>
    <w:p w14:paraId="72DE9864" w14:textId="77777777" w:rsidR="00C62E43" w:rsidRDefault="00C62E43" w:rsidP="00C62E43">
      <w:pPr>
        <w:rPr>
          <w:rFonts w:cstheme="minorHAnsi"/>
          <w:color w:val="000000" w:themeColor="text1"/>
        </w:rPr>
      </w:pPr>
      <w:r>
        <w:rPr>
          <w:rFonts w:cstheme="minorHAnsi"/>
          <w:color w:val="000000" w:themeColor="text1"/>
        </w:rPr>
        <w:br w:type="page"/>
      </w:r>
    </w:p>
    <w:p w14:paraId="04D35959" w14:textId="6CDA2B7D" w:rsidR="00BD72E3" w:rsidRDefault="00100796" w:rsidP="00BD72E3">
      <w:pPr>
        <w:spacing w:after="0" w:line="240" w:lineRule="auto"/>
        <w:jc w:val="both"/>
        <w:rPr>
          <w:rFonts w:cstheme="minorHAnsi"/>
          <w:sz w:val="18"/>
          <w:szCs w:val="18"/>
        </w:rPr>
      </w:pPr>
      <w:r>
        <w:rPr>
          <w:noProof/>
        </w:rPr>
        <w:lastRenderedPageBreak/>
        <w:drawing>
          <wp:inline distT="0" distB="0" distL="0" distR="0" wp14:anchorId="4A3005E5" wp14:editId="449FAC99">
            <wp:extent cx="5886450" cy="4488180"/>
            <wp:effectExtent l="0" t="0" r="0" b="762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4488180"/>
                    </a:xfrm>
                    <a:prstGeom prst="rect">
                      <a:avLst/>
                    </a:prstGeom>
                    <a:noFill/>
                    <a:ln>
                      <a:noFill/>
                    </a:ln>
                  </pic:spPr>
                </pic:pic>
              </a:graphicData>
            </a:graphic>
          </wp:inline>
        </w:drawing>
      </w:r>
    </w:p>
    <w:p w14:paraId="38440B87" w14:textId="0A7D4AF7" w:rsidR="00BD72E3" w:rsidRPr="00D91B1B" w:rsidRDefault="00BD72E3" w:rsidP="00BD72E3">
      <w:pPr>
        <w:spacing w:after="0" w:line="240" w:lineRule="auto"/>
        <w:jc w:val="both"/>
        <w:rPr>
          <w:rFonts w:cstheme="minorHAnsi"/>
          <w:color w:val="000000" w:themeColor="text1"/>
          <w:sz w:val="18"/>
          <w:szCs w:val="18"/>
          <w:lang w:val="pt-BR"/>
        </w:rPr>
      </w:pPr>
      <w:r w:rsidRPr="006D1352">
        <w:rPr>
          <w:rFonts w:cstheme="minorHAnsi"/>
          <w:sz w:val="18"/>
          <w:szCs w:val="18"/>
        </w:rPr>
        <w:t xml:space="preserve">Figure </w:t>
      </w:r>
      <w:r>
        <w:rPr>
          <w:rFonts w:cstheme="minorHAnsi"/>
          <w:sz w:val="18"/>
          <w:szCs w:val="18"/>
        </w:rPr>
        <w:t>S</w:t>
      </w:r>
      <w:r w:rsidR="00711830">
        <w:rPr>
          <w:rFonts w:cstheme="minorHAnsi"/>
          <w:sz w:val="18"/>
          <w:szCs w:val="18"/>
        </w:rPr>
        <w:t>5</w:t>
      </w:r>
      <w:r>
        <w:rPr>
          <w:rFonts w:cstheme="minorHAnsi"/>
          <w:sz w:val="18"/>
          <w:szCs w:val="18"/>
        </w:rPr>
        <w:t xml:space="preserve">: Correlation between age and </w:t>
      </w:r>
      <w:r w:rsidR="00467101">
        <w:rPr>
          <w:rFonts w:cstheme="minorHAnsi"/>
          <w:sz w:val="18"/>
          <w:szCs w:val="18"/>
        </w:rPr>
        <w:t>grey</w:t>
      </w:r>
      <w:r>
        <w:rPr>
          <w:rFonts w:cstheme="minorHAnsi"/>
          <w:sz w:val="18"/>
          <w:szCs w:val="18"/>
        </w:rPr>
        <w:t xml:space="preserve"> matter volume (Left Media</w:t>
      </w:r>
      <w:r w:rsidR="00D0373A">
        <w:rPr>
          <w:rFonts w:cstheme="minorHAnsi"/>
          <w:sz w:val="18"/>
          <w:szCs w:val="18"/>
        </w:rPr>
        <w:t>l</w:t>
      </w:r>
      <w:r>
        <w:rPr>
          <w:rFonts w:cstheme="minorHAnsi"/>
          <w:sz w:val="18"/>
          <w:szCs w:val="18"/>
        </w:rPr>
        <w:t xml:space="preserve"> Temporal Lobe Structures). </w:t>
      </w:r>
      <w:r w:rsidRPr="00D91B1B">
        <w:rPr>
          <w:rFonts w:cstheme="minorHAnsi"/>
          <w:sz w:val="18"/>
          <w:szCs w:val="18"/>
          <w:lang w:val="pt-BR"/>
        </w:rPr>
        <w:t>A) Anterior hippocampus. B) Posterior hippocampus. C) Amygdala. D)</w:t>
      </w:r>
      <w:r w:rsidRPr="00D91B1B">
        <w:rPr>
          <w:lang w:val="pt-BR"/>
        </w:rPr>
        <w:t xml:space="preserve"> </w:t>
      </w:r>
      <w:r w:rsidRPr="00D91B1B">
        <w:rPr>
          <w:rFonts w:cstheme="minorHAnsi"/>
          <w:sz w:val="18"/>
          <w:szCs w:val="18"/>
          <w:lang w:val="pt-BR"/>
        </w:rPr>
        <w:t>Entorhinal cortex</w:t>
      </w:r>
      <w:r>
        <w:rPr>
          <w:rFonts w:cstheme="minorHAnsi"/>
          <w:sz w:val="18"/>
          <w:szCs w:val="18"/>
          <w:lang w:val="pt-BR"/>
        </w:rPr>
        <w:t xml:space="preserve">. E) </w:t>
      </w:r>
      <w:r w:rsidRPr="00D91B1B">
        <w:rPr>
          <w:rFonts w:cstheme="minorHAnsi"/>
          <w:sz w:val="18"/>
          <w:szCs w:val="18"/>
          <w:lang w:val="pt-BR"/>
        </w:rPr>
        <w:t>Perirhinal cortex - Br35</w:t>
      </w:r>
      <w:r>
        <w:rPr>
          <w:rFonts w:cstheme="minorHAnsi"/>
          <w:sz w:val="18"/>
          <w:szCs w:val="18"/>
          <w:lang w:val="pt-BR"/>
        </w:rPr>
        <w:t xml:space="preserve">. F) </w:t>
      </w:r>
      <w:r w:rsidRPr="00D91B1B">
        <w:rPr>
          <w:rFonts w:cstheme="minorHAnsi"/>
          <w:sz w:val="18"/>
          <w:szCs w:val="18"/>
          <w:lang w:val="pt-BR"/>
        </w:rPr>
        <w:t>Perirhinal cortex - Br36</w:t>
      </w:r>
      <w:r>
        <w:rPr>
          <w:rFonts w:cstheme="minorHAnsi"/>
          <w:sz w:val="18"/>
          <w:szCs w:val="18"/>
          <w:lang w:val="pt-BR"/>
        </w:rPr>
        <w:t xml:space="preserve">. G) </w:t>
      </w:r>
      <w:r w:rsidRPr="00D91B1B">
        <w:rPr>
          <w:rFonts w:cstheme="minorHAnsi"/>
          <w:sz w:val="18"/>
          <w:szCs w:val="18"/>
          <w:lang w:val="pt-BR"/>
        </w:rPr>
        <w:t>Parahippocampal cortex</w:t>
      </w:r>
      <w:r>
        <w:rPr>
          <w:rFonts w:cstheme="minorHAnsi"/>
          <w:sz w:val="18"/>
          <w:szCs w:val="18"/>
          <w:lang w:val="pt-BR"/>
        </w:rPr>
        <w:t>.</w:t>
      </w:r>
    </w:p>
    <w:p w14:paraId="439B10AA" w14:textId="2EDB2CAA" w:rsidR="00BD72E3" w:rsidRPr="00BD72E3" w:rsidRDefault="00BD72E3" w:rsidP="00BD72E3">
      <w:pPr>
        <w:jc w:val="both"/>
        <w:rPr>
          <w:rFonts w:cstheme="minorHAnsi"/>
          <w:b/>
          <w:bCs/>
          <w:sz w:val="24"/>
          <w:szCs w:val="24"/>
          <w:lang w:val="pt-BR"/>
        </w:rPr>
      </w:pPr>
    </w:p>
    <w:p w14:paraId="294D469B" w14:textId="0DD9AB9B" w:rsidR="00BD72E3" w:rsidRDefault="00BD72E3" w:rsidP="00BD72E3">
      <w:pPr>
        <w:jc w:val="both"/>
        <w:rPr>
          <w:rFonts w:cstheme="minorHAnsi"/>
          <w:b/>
          <w:bCs/>
          <w:sz w:val="24"/>
          <w:szCs w:val="24"/>
          <w:lang w:val="pt-BR"/>
        </w:rPr>
      </w:pPr>
    </w:p>
    <w:p w14:paraId="7299097C" w14:textId="740DD261" w:rsidR="00BD72E3" w:rsidRDefault="00BD72E3" w:rsidP="00BD72E3">
      <w:pPr>
        <w:jc w:val="both"/>
        <w:rPr>
          <w:rFonts w:cstheme="minorHAnsi"/>
          <w:b/>
          <w:bCs/>
          <w:sz w:val="24"/>
          <w:szCs w:val="24"/>
          <w:lang w:val="pt-BR"/>
        </w:rPr>
      </w:pPr>
    </w:p>
    <w:p w14:paraId="514CC8A6" w14:textId="09BA7A6D" w:rsidR="00BD72E3" w:rsidRDefault="00BD72E3" w:rsidP="00BD72E3">
      <w:pPr>
        <w:jc w:val="both"/>
        <w:rPr>
          <w:rFonts w:cstheme="minorHAnsi"/>
          <w:b/>
          <w:bCs/>
          <w:sz w:val="24"/>
          <w:szCs w:val="24"/>
          <w:lang w:val="pt-BR"/>
        </w:rPr>
      </w:pPr>
    </w:p>
    <w:p w14:paraId="51F74D36" w14:textId="6D79F122" w:rsidR="00BD72E3" w:rsidRDefault="00083E05" w:rsidP="00BD72E3">
      <w:pPr>
        <w:jc w:val="both"/>
        <w:rPr>
          <w:rFonts w:cstheme="minorHAnsi"/>
          <w:b/>
          <w:bCs/>
          <w:sz w:val="24"/>
          <w:szCs w:val="24"/>
          <w:lang w:val="pt-BR"/>
        </w:rPr>
      </w:pPr>
      <w:r>
        <w:rPr>
          <w:noProof/>
        </w:rPr>
        <w:lastRenderedPageBreak/>
        <w:drawing>
          <wp:inline distT="0" distB="0" distL="0" distR="0" wp14:anchorId="7B3E6B63" wp14:editId="009F3866">
            <wp:extent cx="5886450" cy="4315460"/>
            <wp:effectExtent l="0" t="0" r="0" b="8890"/>
            <wp:docPr id="11" name="Picture 1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4315460"/>
                    </a:xfrm>
                    <a:prstGeom prst="rect">
                      <a:avLst/>
                    </a:prstGeom>
                    <a:noFill/>
                    <a:ln>
                      <a:noFill/>
                    </a:ln>
                  </pic:spPr>
                </pic:pic>
              </a:graphicData>
            </a:graphic>
          </wp:inline>
        </w:drawing>
      </w:r>
    </w:p>
    <w:p w14:paraId="5EFDD035" w14:textId="4A08ED12" w:rsidR="00BD72E3" w:rsidRPr="00D91B1B" w:rsidRDefault="00BD72E3" w:rsidP="00BD72E3">
      <w:pPr>
        <w:spacing w:after="0" w:line="240" w:lineRule="auto"/>
        <w:jc w:val="both"/>
        <w:rPr>
          <w:rFonts w:cstheme="minorHAnsi"/>
          <w:color w:val="000000" w:themeColor="text1"/>
          <w:sz w:val="18"/>
          <w:szCs w:val="18"/>
          <w:lang w:val="pt-BR"/>
        </w:rPr>
      </w:pPr>
      <w:r w:rsidRPr="006D1352">
        <w:rPr>
          <w:rFonts w:cstheme="minorHAnsi"/>
          <w:sz w:val="18"/>
          <w:szCs w:val="18"/>
        </w:rPr>
        <w:t xml:space="preserve">Figure </w:t>
      </w:r>
      <w:r>
        <w:rPr>
          <w:rFonts w:cstheme="minorHAnsi"/>
          <w:sz w:val="18"/>
          <w:szCs w:val="18"/>
        </w:rPr>
        <w:t>S</w:t>
      </w:r>
      <w:r w:rsidR="00711830">
        <w:rPr>
          <w:rFonts w:cstheme="minorHAnsi"/>
          <w:sz w:val="18"/>
          <w:szCs w:val="18"/>
        </w:rPr>
        <w:t>6</w:t>
      </w:r>
      <w:r>
        <w:rPr>
          <w:rFonts w:cstheme="minorHAnsi"/>
          <w:sz w:val="18"/>
          <w:szCs w:val="18"/>
        </w:rPr>
        <w:t>: Correlation between age and gr</w:t>
      </w:r>
      <w:r w:rsidR="00FB4977">
        <w:rPr>
          <w:rFonts w:cstheme="minorHAnsi"/>
          <w:sz w:val="18"/>
          <w:szCs w:val="18"/>
        </w:rPr>
        <w:t>e</w:t>
      </w:r>
      <w:r>
        <w:rPr>
          <w:rFonts w:cstheme="minorHAnsi"/>
          <w:sz w:val="18"/>
          <w:szCs w:val="18"/>
        </w:rPr>
        <w:t>y matter volume (</w:t>
      </w:r>
      <w:r w:rsidR="00D024A6">
        <w:rPr>
          <w:rFonts w:cstheme="minorHAnsi"/>
          <w:sz w:val="18"/>
          <w:szCs w:val="18"/>
        </w:rPr>
        <w:t>Right</w:t>
      </w:r>
      <w:r>
        <w:rPr>
          <w:rFonts w:cstheme="minorHAnsi"/>
          <w:sz w:val="18"/>
          <w:szCs w:val="18"/>
        </w:rPr>
        <w:t xml:space="preserve"> Media</w:t>
      </w:r>
      <w:r w:rsidR="00D8324C">
        <w:rPr>
          <w:rFonts w:cstheme="minorHAnsi"/>
          <w:sz w:val="18"/>
          <w:szCs w:val="18"/>
        </w:rPr>
        <w:t>l</w:t>
      </w:r>
      <w:r>
        <w:rPr>
          <w:rFonts w:cstheme="minorHAnsi"/>
          <w:sz w:val="18"/>
          <w:szCs w:val="18"/>
        </w:rPr>
        <w:t xml:space="preserve"> Temporal Lobe Structures). </w:t>
      </w:r>
      <w:r w:rsidRPr="00D91B1B">
        <w:rPr>
          <w:rFonts w:cstheme="minorHAnsi"/>
          <w:sz w:val="18"/>
          <w:szCs w:val="18"/>
          <w:lang w:val="pt-BR"/>
        </w:rPr>
        <w:t>A) Anterior hippocampus. B) Posterior hippocampus. C) Amygdala. D)</w:t>
      </w:r>
      <w:r w:rsidRPr="00D91B1B">
        <w:rPr>
          <w:lang w:val="pt-BR"/>
        </w:rPr>
        <w:t xml:space="preserve"> </w:t>
      </w:r>
      <w:r w:rsidRPr="00D91B1B">
        <w:rPr>
          <w:rFonts w:cstheme="minorHAnsi"/>
          <w:sz w:val="18"/>
          <w:szCs w:val="18"/>
          <w:lang w:val="pt-BR"/>
        </w:rPr>
        <w:t>Entorhinal cortex</w:t>
      </w:r>
      <w:r>
        <w:rPr>
          <w:rFonts w:cstheme="minorHAnsi"/>
          <w:sz w:val="18"/>
          <w:szCs w:val="18"/>
          <w:lang w:val="pt-BR"/>
        </w:rPr>
        <w:t xml:space="preserve">. E) </w:t>
      </w:r>
      <w:r w:rsidRPr="00D91B1B">
        <w:rPr>
          <w:rFonts w:cstheme="minorHAnsi"/>
          <w:sz w:val="18"/>
          <w:szCs w:val="18"/>
          <w:lang w:val="pt-BR"/>
        </w:rPr>
        <w:t>Perirhinal cortex - Br35</w:t>
      </w:r>
      <w:r>
        <w:rPr>
          <w:rFonts w:cstheme="minorHAnsi"/>
          <w:sz w:val="18"/>
          <w:szCs w:val="18"/>
          <w:lang w:val="pt-BR"/>
        </w:rPr>
        <w:t xml:space="preserve">. F) </w:t>
      </w:r>
      <w:r w:rsidRPr="00D91B1B">
        <w:rPr>
          <w:rFonts w:cstheme="minorHAnsi"/>
          <w:sz w:val="18"/>
          <w:szCs w:val="18"/>
          <w:lang w:val="pt-BR"/>
        </w:rPr>
        <w:t>Perirhinal cortex - Br36</w:t>
      </w:r>
      <w:r>
        <w:rPr>
          <w:rFonts w:cstheme="minorHAnsi"/>
          <w:sz w:val="18"/>
          <w:szCs w:val="18"/>
          <w:lang w:val="pt-BR"/>
        </w:rPr>
        <w:t xml:space="preserve">. G) </w:t>
      </w:r>
      <w:r w:rsidRPr="00D91B1B">
        <w:rPr>
          <w:rFonts w:cstheme="minorHAnsi"/>
          <w:sz w:val="18"/>
          <w:szCs w:val="18"/>
          <w:lang w:val="pt-BR"/>
        </w:rPr>
        <w:t>Parahippocampal cortex</w:t>
      </w:r>
      <w:r>
        <w:rPr>
          <w:rFonts w:cstheme="minorHAnsi"/>
          <w:sz w:val="18"/>
          <w:szCs w:val="18"/>
          <w:lang w:val="pt-BR"/>
        </w:rPr>
        <w:t>.</w:t>
      </w:r>
    </w:p>
    <w:p w14:paraId="4A2970AC" w14:textId="1F7B3A9F" w:rsidR="00BD72E3" w:rsidRDefault="00BD72E3" w:rsidP="00BD72E3">
      <w:pPr>
        <w:jc w:val="both"/>
        <w:rPr>
          <w:rFonts w:cstheme="minorHAnsi"/>
          <w:b/>
          <w:bCs/>
          <w:sz w:val="24"/>
          <w:szCs w:val="24"/>
          <w:lang w:val="pt-BR"/>
        </w:rPr>
      </w:pPr>
    </w:p>
    <w:p w14:paraId="558496C4" w14:textId="5A98AF19" w:rsidR="00AF0B88" w:rsidRDefault="00AF0B88">
      <w:pPr>
        <w:rPr>
          <w:rFonts w:cstheme="minorHAnsi"/>
          <w:b/>
          <w:bCs/>
          <w:sz w:val="24"/>
          <w:szCs w:val="24"/>
          <w:lang w:val="pt-BR"/>
        </w:rPr>
      </w:pPr>
      <w:r>
        <w:rPr>
          <w:rFonts w:cstheme="minorHAnsi"/>
          <w:b/>
          <w:bCs/>
          <w:sz w:val="24"/>
          <w:szCs w:val="24"/>
          <w:lang w:val="pt-BR"/>
        </w:rPr>
        <w:br w:type="page"/>
      </w:r>
    </w:p>
    <w:p w14:paraId="5FB5125B" w14:textId="3A155DEA" w:rsidR="00AD2F29" w:rsidRDefault="0076577E" w:rsidP="00ED1D4B">
      <w:pPr>
        <w:spacing w:after="0" w:line="240" w:lineRule="auto"/>
        <w:jc w:val="both"/>
        <w:rPr>
          <w:rFonts w:cstheme="minorHAnsi"/>
          <w:sz w:val="18"/>
          <w:szCs w:val="18"/>
        </w:rPr>
      </w:pPr>
      <w:r>
        <w:rPr>
          <w:noProof/>
        </w:rPr>
        <w:lastRenderedPageBreak/>
        <w:drawing>
          <wp:inline distT="0" distB="0" distL="0" distR="0" wp14:anchorId="6D4499C7" wp14:editId="291CEDF1">
            <wp:extent cx="5886450" cy="3310890"/>
            <wp:effectExtent l="0" t="0" r="0" b="381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3310890"/>
                    </a:xfrm>
                    <a:prstGeom prst="rect">
                      <a:avLst/>
                    </a:prstGeom>
                    <a:noFill/>
                    <a:ln>
                      <a:noFill/>
                    </a:ln>
                  </pic:spPr>
                </pic:pic>
              </a:graphicData>
            </a:graphic>
          </wp:inline>
        </w:drawing>
      </w:r>
    </w:p>
    <w:p w14:paraId="2B141894" w14:textId="77777777" w:rsidR="00AD2F29" w:rsidRDefault="00AD2F29" w:rsidP="00ED1D4B">
      <w:pPr>
        <w:spacing w:after="0" w:line="240" w:lineRule="auto"/>
        <w:jc w:val="both"/>
        <w:rPr>
          <w:rFonts w:cstheme="minorHAnsi"/>
          <w:sz w:val="18"/>
          <w:szCs w:val="18"/>
        </w:rPr>
      </w:pPr>
    </w:p>
    <w:p w14:paraId="0B3C665A" w14:textId="6AE90AA3" w:rsidR="00ED1D4B" w:rsidRDefault="00ED1D4B" w:rsidP="00ED1D4B">
      <w:pPr>
        <w:spacing w:after="0" w:line="240" w:lineRule="auto"/>
        <w:jc w:val="both"/>
        <w:rPr>
          <w:rFonts w:cstheme="minorHAnsi"/>
          <w:sz w:val="18"/>
          <w:szCs w:val="18"/>
        </w:rPr>
      </w:pPr>
      <w:r w:rsidRPr="006D1352">
        <w:rPr>
          <w:rFonts w:cstheme="minorHAnsi"/>
          <w:sz w:val="18"/>
          <w:szCs w:val="18"/>
        </w:rPr>
        <w:t xml:space="preserve">Figure </w:t>
      </w:r>
      <w:r>
        <w:rPr>
          <w:rFonts w:cstheme="minorHAnsi"/>
          <w:sz w:val="18"/>
          <w:szCs w:val="18"/>
        </w:rPr>
        <w:t>S</w:t>
      </w:r>
      <w:r w:rsidR="00711830">
        <w:rPr>
          <w:rFonts w:cstheme="minorHAnsi"/>
          <w:sz w:val="18"/>
          <w:szCs w:val="18"/>
        </w:rPr>
        <w:t>7</w:t>
      </w:r>
      <w:r>
        <w:rPr>
          <w:rFonts w:cstheme="minorHAnsi"/>
          <w:sz w:val="18"/>
          <w:szCs w:val="18"/>
        </w:rPr>
        <w:t>: Correlation between age and gr</w:t>
      </w:r>
      <w:r w:rsidR="00D024A6">
        <w:rPr>
          <w:rFonts w:cstheme="minorHAnsi"/>
          <w:sz w:val="18"/>
          <w:szCs w:val="18"/>
        </w:rPr>
        <w:t>e</w:t>
      </w:r>
      <w:r>
        <w:rPr>
          <w:rFonts w:cstheme="minorHAnsi"/>
          <w:sz w:val="18"/>
          <w:szCs w:val="18"/>
        </w:rPr>
        <w:t xml:space="preserve">y matter volume (Left Frontal Lobe Structures). </w:t>
      </w:r>
      <w:r w:rsidRPr="00D91B1B">
        <w:rPr>
          <w:rFonts w:cstheme="minorHAnsi"/>
          <w:sz w:val="18"/>
          <w:szCs w:val="18"/>
        </w:rPr>
        <w:t>A) Inferior frontal gyrus - Pars opercularis. B) Inferior frontal gyrus - Pars orbitalis. C) Inferior frontal gyrus - Pars triangularis. D)</w:t>
      </w:r>
      <w:r w:rsidRPr="00D91B1B">
        <w:t xml:space="preserve"> </w:t>
      </w:r>
      <w:r w:rsidRPr="00D91B1B">
        <w:rPr>
          <w:rFonts w:cstheme="minorHAnsi"/>
          <w:sz w:val="18"/>
          <w:szCs w:val="18"/>
        </w:rPr>
        <w:t xml:space="preserve">Middle frontal gyrus. </w:t>
      </w:r>
      <w:r w:rsidRPr="000F23D7">
        <w:rPr>
          <w:rFonts w:cstheme="minorHAnsi"/>
          <w:sz w:val="18"/>
          <w:szCs w:val="18"/>
        </w:rPr>
        <w:t>E) Superior frontal gyrus. F) Orbital sulci (H-shaped sulci).</w:t>
      </w:r>
    </w:p>
    <w:p w14:paraId="584D3B6C" w14:textId="25ED7FF1" w:rsidR="00ED1D4B" w:rsidRDefault="00ED1D4B" w:rsidP="00ED1D4B">
      <w:pPr>
        <w:spacing w:after="0" w:line="240" w:lineRule="auto"/>
        <w:jc w:val="both"/>
        <w:rPr>
          <w:rFonts w:cstheme="minorHAnsi"/>
          <w:sz w:val="18"/>
          <w:szCs w:val="18"/>
        </w:rPr>
      </w:pPr>
    </w:p>
    <w:p w14:paraId="235214FF" w14:textId="1EFC4950" w:rsidR="00ED1D4B" w:rsidRDefault="00ED1D4B" w:rsidP="00ED1D4B">
      <w:pPr>
        <w:spacing w:after="0" w:line="240" w:lineRule="auto"/>
        <w:jc w:val="both"/>
        <w:rPr>
          <w:rFonts w:cstheme="minorHAnsi"/>
          <w:sz w:val="18"/>
          <w:szCs w:val="18"/>
        </w:rPr>
      </w:pPr>
    </w:p>
    <w:p w14:paraId="7878CABE" w14:textId="35581142" w:rsidR="00AD2F29" w:rsidRDefault="00AD2F29">
      <w:pPr>
        <w:rPr>
          <w:rFonts w:cstheme="minorHAnsi"/>
          <w:sz w:val="18"/>
          <w:szCs w:val="18"/>
        </w:rPr>
      </w:pPr>
      <w:r>
        <w:rPr>
          <w:rFonts w:cstheme="minorHAnsi"/>
          <w:sz w:val="18"/>
          <w:szCs w:val="18"/>
        </w:rPr>
        <w:br w:type="page"/>
      </w:r>
    </w:p>
    <w:p w14:paraId="0E9AE38D" w14:textId="77777777" w:rsidR="00AD2F29" w:rsidRDefault="00AD2F29" w:rsidP="00ED1D4B">
      <w:pPr>
        <w:spacing w:after="0" w:line="240" w:lineRule="auto"/>
        <w:jc w:val="both"/>
        <w:rPr>
          <w:rFonts w:cstheme="minorHAnsi"/>
          <w:sz w:val="18"/>
          <w:szCs w:val="18"/>
        </w:rPr>
      </w:pPr>
    </w:p>
    <w:p w14:paraId="1AB915F5" w14:textId="4701936B" w:rsidR="00AD2F29" w:rsidRDefault="0076577E" w:rsidP="00ED1D4B">
      <w:pPr>
        <w:spacing w:after="0" w:line="240" w:lineRule="auto"/>
        <w:jc w:val="both"/>
        <w:rPr>
          <w:rFonts w:cstheme="minorHAnsi"/>
          <w:sz w:val="18"/>
          <w:szCs w:val="18"/>
        </w:rPr>
      </w:pPr>
      <w:r>
        <w:rPr>
          <w:noProof/>
        </w:rPr>
        <w:drawing>
          <wp:inline distT="0" distB="0" distL="0" distR="0" wp14:anchorId="737B0048" wp14:editId="740C0C10">
            <wp:extent cx="5863489" cy="3649980"/>
            <wp:effectExtent l="0" t="0" r="4445" b="7620"/>
            <wp:docPr id="9" name="Picture 9" descr="Char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calendar&#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2" r="3172"/>
                    <a:stretch/>
                  </pic:blipFill>
                  <pic:spPr bwMode="auto">
                    <a:xfrm>
                      <a:off x="0" y="0"/>
                      <a:ext cx="5870958" cy="3654629"/>
                    </a:xfrm>
                    <a:prstGeom prst="rect">
                      <a:avLst/>
                    </a:prstGeom>
                    <a:noFill/>
                    <a:ln>
                      <a:noFill/>
                    </a:ln>
                    <a:extLst>
                      <a:ext uri="{53640926-AAD7-44D8-BBD7-CCE9431645EC}">
                        <a14:shadowObscured xmlns:a14="http://schemas.microsoft.com/office/drawing/2010/main"/>
                      </a:ext>
                    </a:extLst>
                  </pic:spPr>
                </pic:pic>
              </a:graphicData>
            </a:graphic>
          </wp:inline>
        </w:drawing>
      </w:r>
    </w:p>
    <w:p w14:paraId="38F67F89" w14:textId="77777777" w:rsidR="00AD2F29" w:rsidRDefault="00AD2F29" w:rsidP="00ED1D4B">
      <w:pPr>
        <w:spacing w:after="0" w:line="240" w:lineRule="auto"/>
        <w:jc w:val="both"/>
        <w:rPr>
          <w:rFonts w:cstheme="minorHAnsi"/>
          <w:sz w:val="18"/>
          <w:szCs w:val="18"/>
        </w:rPr>
      </w:pPr>
    </w:p>
    <w:p w14:paraId="2E5B50F5" w14:textId="7821BA58" w:rsidR="00ED1D4B" w:rsidRPr="00A9710F" w:rsidRDefault="00ED1D4B" w:rsidP="00ED1D4B">
      <w:pPr>
        <w:spacing w:after="0" w:line="240" w:lineRule="auto"/>
        <w:jc w:val="both"/>
        <w:rPr>
          <w:rFonts w:cstheme="minorHAnsi"/>
          <w:color w:val="000000" w:themeColor="text1"/>
          <w:sz w:val="18"/>
          <w:szCs w:val="18"/>
        </w:rPr>
      </w:pPr>
      <w:r w:rsidRPr="006D1352">
        <w:rPr>
          <w:rFonts w:cstheme="minorHAnsi"/>
          <w:sz w:val="18"/>
          <w:szCs w:val="18"/>
        </w:rPr>
        <w:t xml:space="preserve">Figure </w:t>
      </w:r>
      <w:r>
        <w:rPr>
          <w:rFonts w:cstheme="minorHAnsi"/>
          <w:sz w:val="18"/>
          <w:szCs w:val="18"/>
        </w:rPr>
        <w:t>S</w:t>
      </w:r>
      <w:r w:rsidR="00711830">
        <w:rPr>
          <w:rFonts w:cstheme="minorHAnsi"/>
          <w:sz w:val="18"/>
          <w:szCs w:val="18"/>
        </w:rPr>
        <w:t>8</w:t>
      </w:r>
      <w:r>
        <w:rPr>
          <w:rFonts w:cstheme="minorHAnsi"/>
          <w:sz w:val="18"/>
          <w:szCs w:val="18"/>
        </w:rPr>
        <w:t>: Correlation between age and gr</w:t>
      </w:r>
      <w:r w:rsidR="00D024A6">
        <w:rPr>
          <w:rFonts w:cstheme="minorHAnsi"/>
          <w:sz w:val="18"/>
          <w:szCs w:val="18"/>
        </w:rPr>
        <w:t>e</w:t>
      </w:r>
      <w:r>
        <w:rPr>
          <w:rFonts w:cstheme="minorHAnsi"/>
          <w:sz w:val="18"/>
          <w:szCs w:val="18"/>
        </w:rPr>
        <w:t xml:space="preserve">y matter volume (Right Frontal Lobe Structures). </w:t>
      </w:r>
      <w:r w:rsidRPr="00D91B1B">
        <w:rPr>
          <w:rFonts w:cstheme="minorHAnsi"/>
          <w:sz w:val="18"/>
          <w:szCs w:val="18"/>
        </w:rPr>
        <w:t>A) Inferior frontal gyrus - Pars opercularis. B) Inferior frontal gyrus - Pars orbitalis. C) Inferior frontal gyrus - Pars triangularis. D)</w:t>
      </w:r>
      <w:r w:rsidRPr="00D91B1B">
        <w:t xml:space="preserve"> </w:t>
      </w:r>
      <w:r w:rsidRPr="00D91B1B">
        <w:rPr>
          <w:rFonts w:cstheme="minorHAnsi"/>
          <w:sz w:val="18"/>
          <w:szCs w:val="18"/>
        </w:rPr>
        <w:t xml:space="preserve">Middle frontal gyrus. </w:t>
      </w:r>
      <w:r w:rsidRPr="00A9710F">
        <w:rPr>
          <w:rFonts w:cstheme="minorHAnsi"/>
          <w:sz w:val="18"/>
          <w:szCs w:val="18"/>
        </w:rPr>
        <w:t>E) Superior frontal gyrus. F) Orbital sulci (H-shaped sulci).</w:t>
      </w:r>
    </w:p>
    <w:p w14:paraId="4F955143" w14:textId="77777777" w:rsidR="00ED1D4B" w:rsidRPr="00A9710F" w:rsidRDefault="00ED1D4B" w:rsidP="00ED1D4B">
      <w:pPr>
        <w:spacing w:after="0" w:line="240" w:lineRule="auto"/>
        <w:jc w:val="both"/>
        <w:rPr>
          <w:rFonts w:cstheme="minorHAnsi"/>
          <w:color w:val="000000" w:themeColor="text1"/>
          <w:sz w:val="18"/>
          <w:szCs w:val="18"/>
        </w:rPr>
      </w:pPr>
    </w:p>
    <w:p w14:paraId="2E824061" w14:textId="77777777" w:rsidR="00AF0B88" w:rsidRPr="00A9710F" w:rsidRDefault="00AF0B88" w:rsidP="00BD72E3">
      <w:pPr>
        <w:jc w:val="both"/>
        <w:rPr>
          <w:rFonts w:cstheme="minorHAnsi"/>
          <w:b/>
          <w:bCs/>
          <w:sz w:val="24"/>
          <w:szCs w:val="24"/>
        </w:rPr>
      </w:pPr>
    </w:p>
    <w:p w14:paraId="27680FBC" w14:textId="77777777" w:rsidR="00865952" w:rsidRDefault="00865952">
      <w:pPr>
        <w:rPr>
          <w:rFonts w:cstheme="minorHAnsi"/>
          <w:b/>
          <w:bCs/>
          <w:sz w:val="24"/>
          <w:szCs w:val="24"/>
        </w:rPr>
      </w:pPr>
      <w:r>
        <w:rPr>
          <w:rFonts w:cstheme="minorHAnsi"/>
          <w:b/>
          <w:bCs/>
          <w:sz w:val="24"/>
          <w:szCs w:val="24"/>
        </w:rPr>
        <w:br w:type="page"/>
      </w:r>
    </w:p>
    <w:p w14:paraId="038C0E91" w14:textId="25957669" w:rsidR="00865952" w:rsidRDefault="00865952" w:rsidP="00865952">
      <w:pPr>
        <w:jc w:val="both"/>
        <w:rPr>
          <w:rFonts w:cstheme="minorHAnsi"/>
        </w:rPr>
      </w:pPr>
      <w:r>
        <w:rPr>
          <w:noProof/>
        </w:rPr>
        <w:lastRenderedPageBreak/>
        <w:drawing>
          <wp:inline distT="0" distB="0" distL="0" distR="0" wp14:anchorId="27D8B8CD" wp14:editId="09943273">
            <wp:extent cx="5677317" cy="598170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1324" cy="5985922"/>
                    </a:xfrm>
                    <a:prstGeom prst="rect">
                      <a:avLst/>
                    </a:prstGeom>
                    <a:noFill/>
                    <a:ln>
                      <a:noFill/>
                    </a:ln>
                  </pic:spPr>
                </pic:pic>
              </a:graphicData>
            </a:graphic>
          </wp:inline>
        </w:drawing>
      </w:r>
    </w:p>
    <w:p w14:paraId="34F3EA7B" w14:textId="1F8FFD32" w:rsidR="009B10A2" w:rsidRPr="00E1568A" w:rsidRDefault="00865952" w:rsidP="003C115A">
      <w:pPr>
        <w:spacing w:line="360" w:lineRule="auto"/>
        <w:jc w:val="both"/>
        <w:rPr>
          <w:rFonts w:cstheme="minorHAnsi"/>
          <w:color w:val="000000" w:themeColor="text1"/>
          <w:sz w:val="18"/>
          <w:szCs w:val="18"/>
        </w:rPr>
      </w:pPr>
      <w:r w:rsidRPr="003C115A">
        <w:rPr>
          <w:rFonts w:cstheme="minorHAnsi"/>
          <w:sz w:val="18"/>
          <w:szCs w:val="18"/>
        </w:rPr>
        <w:t xml:space="preserve">Figure </w:t>
      </w:r>
      <w:r w:rsidR="00711830" w:rsidRPr="003C115A">
        <w:rPr>
          <w:rFonts w:cstheme="minorHAnsi"/>
          <w:sz w:val="18"/>
          <w:szCs w:val="18"/>
        </w:rPr>
        <w:t>S9</w:t>
      </w:r>
      <w:r w:rsidRPr="003C115A">
        <w:rPr>
          <w:rFonts w:cstheme="minorHAnsi"/>
          <w:sz w:val="18"/>
          <w:szCs w:val="18"/>
        </w:rPr>
        <w:t xml:space="preserve">: </w:t>
      </w:r>
      <w:r w:rsidRPr="003C115A">
        <w:rPr>
          <w:rFonts w:cstheme="minorHAnsi"/>
          <w:color w:val="000000" w:themeColor="text1"/>
          <w:sz w:val="18"/>
          <w:szCs w:val="18"/>
        </w:rPr>
        <w:t>Canonical Correlation Analysis (CCA) - The relationship brain volumes and memory performance. A) Heliograph of variate loadings (correlations) for the first canonical variate, where the size of the correlations is indicated by the length of the bars. Item Memory scores (</w:t>
      </w:r>
      <w:r w:rsidR="00306407">
        <w:rPr>
          <w:rFonts w:cstheme="minorHAnsi"/>
          <w:color w:val="000000" w:themeColor="text1"/>
          <w:sz w:val="18"/>
          <w:szCs w:val="18"/>
        </w:rPr>
        <w:t xml:space="preserve">% </w:t>
      </w:r>
      <w:r w:rsidRPr="003C115A">
        <w:rPr>
          <w:rFonts w:cstheme="minorHAnsi"/>
          <w:color w:val="000000" w:themeColor="text1"/>
          <w:sz w:val="18"/>
          <w:szCs w:val="18"/>
        </w:rPr>
        <w:t xml:space="preserve">Hits minus </w:t>
      </w:r>
      <w:r w:rsidR="00306407">
        <w:rPr>
          <w:rFonts w:cstheme="minorHAnsi"/>
          <w:color w:val="000000" w:themeColor="text1"/>
          <w:sz w:val="18"/>
          <w:szCs w:val="18"/>
        </w:rPr>
        <w:t xml:space="preserve">% </w:t>
      </w:r>
      <w:r w:rsidRPr="003C115A">
        <w:rPr>
          <w:rFonts w:cstheme="minorHAnsi"/>
          <w:color w:val="000000" w:themeColor="text1"/>
          <w:sz w:val="18"/>
          <w:szCs w:val="18"/>
        </w:rPr>
        <w:t>False Alarms). Associative Memory scores (</w:t>
      </w:r>
      <w:r w:rsidR="00306407">
        <w:rPr>
          <w:rFonts w:cstheme="minorHAnsi"/>
          <w:color w:val="000000" w:themeColor="text1"/>
          <w:sz w:val="18"/>
          <w:szCs w:val="18"/>
        </w:rPr>
        <w:t>%</w:t>
      </w:r>
      <w:r w:rsidRPr="003C115A">
        <w:rPr>
          <w:rFonts w:cstheme="minorHAnsi"/>
          <w:color w:val="000000" w:themeColor="text1"/>
          <w:sz w:val="18"/>
          <w:szCs w:val="18"/>
        </w:rPr>
        <w:t xml:space="preserve"> Hits minus </w:t>
      </w:r>
      <w:r w:rsidR="00306407">
        <w:rPr>
          <w:rFonts w:cstheme="minorHAnsi"/>
          <w:color w:val="000000" w:themeColor="text1"/>
          <w:sz w:val="18"/>
          <w:szCs w:val="18"/>
        </w:rPr>
        <w:t xml:space="preserve">% </w:t>
      </w:r>
      <w:r w:rsidRPr="003C115A">
        <w:rPr>
          <w:rFonts w:cstheme="minorHAnsi"/>
          <w:color w:val="000000" w:themeColor="text1"/>
          <w:sz w:val="18"/>
          <w:szCs w:val="18"/>
        </w:rPr>
        <w:t>False Alarms). The statistical relationships between brain structures (brain volume profile) and memory performance (cognitive profile) are for Model 1 (r = 0.46</w:t>
      </w:r>
      <w:r w:rsidR="0057539B" w:rsidRPr="003C115A">
        <w:rPr>
          <w:rFonts w:cstheme="minorHAnsi"/>
          <w:color w:val="000000" w:themeColor="text1"/>
          <w:sz w:val="18"/>
          <w:szCs w:val="18"/>
        </w:rPr>
        <w:t>8</w:t>
      </w:r>
      <w:r w:rsidRPr="003C115A">
        <w:rPr>
          <w:rFonts w:cstheme="minorHAnsi"/>
          <w:color w:val="000000" w:themeColor="text1"/>
          <w:sz w:val="18"/>
          <w:szCs w:val="18"/>
        </w:rPr>
        <w:t>, p &lt;0.001), for Model 2 (r = 0.5</w:t>
      </w:r>
      <w:r w:rsidR="0057539B" w:rsidRPr="003C115A">
        <w:rPr>
          <w:rFonts w:cstheme="minorHAnsi"/>
          <w:color w:val="000000" w:themeColor="text1"/>
          <w:sz w:val="18"/>
          <w:szCs w:val="18"/>
        </w:rPr>
        <w:t>65</w:t>
      </w:r>
      <w:r w:rsidRPr="003C115A">
        <w:rPr>
          <w:rFonts w:cstheme="minorHAnsi"/>
          <w:color w:val="000000" w:themeColor="text1"/>
          <w:sz w:val="18"/>
          <w:szCs w:val="18"/>
        </w:rPr>
        <w:t>, p &lt;0.001), and for Model 3 (r = 0.</w:t>
      </w:r>
      <w:r w:rsidR="0057539B" w:rsidRPr="003C115A">
        <w:rPr>
          <w:rFonts w:cstheme="minorHAnsi"/>
          <w:color w:val="000000" w:themeColor="text1"/>
          <w:sz w:val="18"/>
          <w:szCs w:val="18"/>
        </w:rPr>
        <w:t>592</w:t>
      </w:r>
      <w:r w:rsidRPr="003C115A">
        <w:rPr>
          <w:rFonts w:cstheme="minorHAnsi"/>
          <w:color w:val="000000" w:themeColor="text1"/>
          <w:sz w:val="18"/>
          <w:szCs w:val="18"/>
        </w:rPr>
        <w:t xml:space="preserve">, p &lt;0.001). </w:t>
      </w:r>
      <w:r w:rsidRPr="003C115A">
        <w:rPr>
          <w:rFonts w:cstheme="minorHAnsi"/>
          <w:sz w:val="18"/>
          <w:szCs w:val="18"/>
        </w:rPr>
        <w:t xml:space="preserve">B) </w:t>
      </w:r>
      <w:r w:rsidRPr="003C115A">
        <w:rPr>
          <w:rFonts w:cstheme="minorHAnsi"/>
          <w:color w:val="000000" w:themeColor="text1"/>
          <w:sz w:val="18"/>
          <w:szCs w:val="18"/>
        </w:rPr>
        <w:t>Model Fit Analysis (Bootstrapping approach). Histogram showing the frequencies of F values (5000 occurrences per model), representing the distribution of the ratio of explained variance to unexplained variance for each model.</w:t>
      </w:r>
      <w:r w:rsidR="009B10A2" w:rsidRPr="003C115A">
        <w:rPr>
          <w:rFonts w:cstheme="minorHAnsi"/>
          <w:color w:val="000000" w:themeColor="text1"/>
          <w:sz w:val="18"/>
          <w:szCs w:val="18"/>
        </w:rPr>
        <w:t xml:space="preserve"> </w:t>
      </w:r>
      <w:r w:rsidR="0057539B" w:rsidRPr="003C115A">
        <w:rPr>
          <w:rFonts w:cstheme="minorHAnsi"/>
          <w:color w:val="000000" w:themeColor="text1"/>
          <w:sz w:val="18"/>
          <w:szCs w:val="18"/>
        </w:rPr>
        <w:t>Results indicate</w:t>
      </w:r>
      <w:r w:rsidR="00E1568A" w:rsidRPr="003C115A">
        <w:rPr>
          <w:rFonts w:cstheme="minorHAnsi"/>
          <w:color w:val="000000" w:themeColor="text1"/>
          <w:sz w:val="18"/>
          <w:szCs w:val="18"/>
        </w:rPr>
        <w:t>d</w:t>
      </w:r>
      <w:r w:rsidR="0057539B" w:rsidRPr="003C115A">
        <w:rPr>
          <w:rFonts w:cstheme="minorHAnsi"/>
          <w:color w:val="000000" w:themeColor="text1"/>
          <w:sz w:val="18"/>
          <w:szCs w:val="18"/>
        </w:rPr>
        <w:t xml:space="preserve"> that </w:t>
      </w:r>
      <w:r w:rsidR="009B10A2" w:rsidRPr="003C115A">
        <w:rPr>
          <w:rFonts w:cstheme="minorHAnsi"/>
          <w:color w:val="000000" w:themeColor="text1"/>
          <w:sz w:val="18"/>
          <w:szCs w:val="18"/>
        </w:rPr>
        <w:t>Model 2 (which included the frontal regions alone) predicted memory performance better than Model 1 (which included the medial temporal lobe regions alone), t = -</w:t>
      </w:r>
      <w:r w:rsidR="00E1568A" w:rsidRPr="003C115A">
        <w:rPr>
          <w:rFonts w:cstheme="minorHAnsi"/>
          <w:color w:val="000000" w:themeColor="text1"/>
          <w:sz w:val="18"/>
          <w:szCs w:val="18"/>
        </w:rPr>
        <w:t>128</w:t>
      </w:r>
      <w:r w:rsidR="009B10A2" w:rsidRPr="003C115A">
        <w:rPr>
          <w:rFonts w:cstheme="minorHAnsi"/>
          <w:color w:val="000000" w:themeColor="text1"/>
          <w:sz w:val="18"/>
          <w:szCs w:val="18"/>
        </w:rPr>
        <w:t>.</w:t>
      </w:r>
      <w:r w:rsidR="00E1568A" w:rsidRPr="003C115A">
        <w:rPr>
          <w:rFonts w:cstheme="minorHAnsi"/>
          <w:color w:val="000000" w:themeColor="text1"/>
          <w:sz w:val="18"/>
          <w:szCs w:val="18"/>
        </w:rPr>
        <w:t>79</w:t>
      </w:r>
      <w:r w:rsidR="009B10A2" w:rsidRPr="003C115A">
        <w:rPr>
          <w:rFonts w:cstheme="minorHAnsi"/>
          <w:color w:val="000000" w:themeColor="text1"/>
          <w:sz w:val="18"/>
          <w:szCs w:val="18"/>
        </w:rPr>
        <w:t>, p &lt; 0.001, and better than Model 3 (which included both medial temporal and frontal regions), t =</w:t>
      </w:r>
      <w:r w:rsidR="00E1568A" w:rsidRPr="003C115A">
        <w:rPr>
          <w:rFonts w:cstheme="minorHAnsi"/>
          <w:color w:val="000000" w:themeColor="text1"/>
          <w:sz w:val="18"/>
          <w:szCs w:val="18"/>
        </w:rPr>
        <w:t xml:space="preserve"> 230.49</w:t>
      </w:r>
      <w:r w:rsidR="009B10A2" w:rsidRPr="003C115A">
        <w:rPr>
          <w:rFonts w:cstheme="minorHAnsi"/>
          <w:color w:val="000000" w:themeColor="text1"/>
          <w:sz w:val="18"/>
          <w:szCs w:val="18"/>
        </w:rPr>
        <w:t xml:space="preserve">, p &lt; 0.001. Further, Model </w:t>
      </w:r>
      <w:r w:rsidR="00E1568A" w:rsidRPr="003C115A">
        <w:rPr>
          <w:rFonts w:cstheme="minorHAnsi"/>
          <w:color w:val="000000" w:themeColor="text1"/>
          <w:sz w:val="18"/>
          <w:szCs w:val="18"/>
        </w:rPr>
        <w:t>1</w:t>
      </w:r>
      <w:r w:rsidR="009B10A2" w:rsidRPr="003C115A">
        <w:rPr>
          <w:rFonts w:cstheme="minorHAnsi"/>
          <w:color w:val="000000" w:themeColor="text1"/>
          <w:sz w:val="18"/>
          <w:szCs w:val="18"/>
        </w:rPr>
        <w:t xml:space="preserve">, predicted memory performance better than Model </w:t>
      </w:r>
      <w:r w:rsidR="00E1568A" w:rsidRPr="003C115A">
        <w:rPr>
          <w:rFonts w:cstheme="minorHAnsi"/>
          <w:color w:val="000000" w:themeColor="text1"/>
          <w:sz w:val="18"/>
          <w:szCs w:val="18"/>
        </w:rPr>
        <w:t>3</w:t>
      </w:r>
      <w:r w:rsidR="009B10A2" w:rsidRPr="003C115A">
        <w:rPr>
          <w:rFonts w:cstheme="minorHAnsi"/>
          <w:color w:val="000000" w:themeColor="text1"/>
          <w:sz w:val="18"/>
          <w:szCs w:val="18"/>
        </w:rPr>
        <w:t xml:space="preserve">, t = </w:t>
      </w:r>
      <w:r w:rsidR="00E1568A" w:rsidRPr="003C115A">
        <w:rPr>
          <w:rFonts w:cstheme="minorHAnsi"/>
          <w:color w:val="000000" w:themeColor="text1"/>
          <w:sz w:val="18"/>
          <w:szCs w:val="18"/>
        </w:rPr>
        <w:t>18.54</w:t>
      </w:r>
      <w:r w:rsidR="009B10A2" w:rsidRPr="003C115A">
        <w:rPr>
          <w:rFonts w:cstheme="minorHAnsi"/>
          <w:color w:val="000000" w:themeColor="text1"/>
          <w:sz w:val="18"/>
          <w:szCs w:val="18"/>
        </w:rPr>
        <w:t>, p &lt; 0.001.</w:t>
      </w:r>
    </w:p>
    <w:p w14:paraId="22F1DBD2" w14:textId="338ABC90" w:rsidR="00C51CD8" w:rsidRDefault="00C51CD8" w:rsidP="004F4E10">
      <w:pPr>
        <w:spacing w:after="0" w:line="240" w:lineRule="auto"/>
        <w:rPr>
          <w:rFonts w:cstheme="minorHAnsi"/>
          <w:color w:val="000000" w:themeColor="text1"/>
        </w:rPr>
      </w:pPr>
    </w:p>
    <w:p w14:paraId="56484500" w14:textId="6643A852" w:rsidR="004F4E10" w:rsidRPr="007D4628" w:rsidRDefault="004F4E10" w:rsidP="004F4E10">
      <w:pPr>
        <w:spacing w:after="0" w:line="240" w:lineRule="auto"/>
        <w:rPr>
          <w:rFonts w:cstheme="minorHAnsi"/>
          <w:color w:val="000000" w:themeColor="text1"/>
        </w:rPr>
      </w:pPr>
      <w:r w:rsidRPr="00192ACB">
        <w:rPr>
          <w:rFonts w:cstheme="minorHAnsi"/>
          <w:color w:val="000000" w:themeColor="text1"/>
        </w:rPr>
        <w:t xml:space="preserve">Table </w:t>
      </w:r>
      <w:r>
        <w:rPr>
          <w:rFonts w:cstheme="minorHAnsi"/>
          <w:color w:val="000000" w:themeColor="text1"/>
        </w:rPr>
        <w:t>S</w:t>
      </w:r>
      <w:r w:rsidR="00C51CD8">
        <w:rPr>
          <w:rFonts w:cstheme="minorHAnsi"/>
          <w:color w:val="000000" w:themeColor="text1"/>
        </w:rPr>
        <w:t>1</w:t>
      </w:r>
      <w:r w:rsidRPr="00192ACB">
        <w:rPr>
          <w:rFonts w:cstheme="minorHAnsi"/>
          <w:color w:val="000000" w:themeColor="text1"/>
        </w:rPr>
        <w:t xml:space="preserve"> – Significance of the loadings of the CCA Model 2</w:t>
      </w:r>
      <w:r>
        <w:rPr>
          <w:rFonts w:cstheme="minorHAnsi"/>
          <w:color w:val="000000" w:themeColor="text1"/>
        </w:rPr>
        <w:t xml:space="preserve"> – Associative Memory scores calculated as </w:t>
      </w:r>
      <w:r w:rsidR="006E1434">
        <w:rPr>
          <w:rFonts w:cstheme="minorHAnsi"/>
          <w:color w:val="000000" w:themeColor="text1"/>
        </w:rPr>
        <w:t xml:space="preserve">Percent </w:t>
      </w:r>
      <w:r>
        <w:rPr>
          <w:rFonts w:cstheme="minorHAnsi"/>
          <w:color w:val="000000" w:themeColor="text1"/>
        </w:rPr>
        <w:t>Hits minus</w:t>
      </w:r>
      <w:r w:rsidR="006E1434">
        <w:rPr>
          <w:rFonts w:cstheme="minorHAnsi"/>
          <w:color w:val="000000" w:themeColor="text1"/>
        </w:rPr>
        <w:t xml:space="preserve"> Percent</w:t>
      </w:r>
      <w:r>
        <w:rPr>
          <w:rFonts w:cstheme="minorHAnsi"/>
          <w:color w:val="000000" w:themeColor="text1"/>
        </w:rPr>
        <w:t xml:space="preserve"> False Alarms</w:t>
      </w:r>
    </w:p>
    <w:p w14:paraId="48932386" w14:textId="77777777" w:rsidR="00585A57" w:rsidRDefault="00585A57" w:rsidP="00585A57">
      <w:pPr>
        <w:spacing w:after="0" w:line="240" w:lineRule="auto"/>
        <w:rPr>
          <w:rFonts w:cstheme="minorHAnsi"/>
          <w:color w:val="000000" w:themeColor="text1"/>
        </w:rPr>
      </w:pPr>
    </w:p>
    <w:tbl>
      <w:tblPr>
        <w:tblW w:w="9240" w:type="dxa"/>
        <w:tblLook w:val="04A0" w:firstRow="1" w:lastRow="0" w:firstColumn="1" w:lastColumn="0" w:noHBand="0" w:noVBand="1"/>
      </w:tblPr>
      <w:tblGrid>
        <w:gridCol w:w="1095"/>
        <w:gridCol w:w="3500"/>
        <w:gridCol w:w="860"/>
        <w:gridCol w:w="860"/>
        <w:gridCol w:w="1960"/>
        <w:gridCol w:w="965"/>
      </w:tblGrid>
      <w:tr w:rsidR="00585A57" w14:paraId="68A50251" w14:textId="77777777" w:rsidTr="00585A57">
        <w:trPr>
          <w:trHeight w:val="300"/>
        </w:trPr>
        <w:tc>
          <w:tcPr>
            <w:tcW w:w="1095" w:type="dxa"/>
            <w:vMerge w:val="restart"/>
            <w:tcBorders>
              <w:top w:val="single" w:sz="4" w:space="0" w:color="auto"/>
              <w:left w:val="nil"/>
              <w:bottom w:val="single" w:sz="8" w:space="0" w:color="000000"/>
              <w:right w:val="nil"/>
            </w:tcBorders>
            <w:noWrap/>
            <w:vAlign w:val="center"/>
            <w:hideMark/>
          </w:tcPr>
          <w:p w14:paraId="60CB440D" w14:textId="77777777" w:rsidR="00585A57" w:rsidRDefault="00585A57">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CCA Component</w:t>
            </w:r>
          </w:p>
        </w:tc>
        <w:tc>
          <w:tcPr>
            <w:tcW w:w="3500" w:type="dxa"/>
            <w:vMerge w:val="restart"/>
            <w:tcBorders>
              <w:top w:val="single" w:sz="4" w:space="0" w:color="auto"/>
              <w:left w:val="nil"/>
              <w:bottom w:val="single" w:sz="8" w:space="0" w:color="000000"/>
              <w:right w:val="nil"/>
            </w:tcBorders>
            <w:noWrap/>
            <w:vAlign w:val="center"/>
            <w:hideMark/>
          </w:tcPr>
          <w:p w14:paraId="70FE922B" w14:textId="77777777" w:rsidR="00585A57" w:rsidRPr="00AC3C85" w:rsidRDefault="00585A57">
            <w:pPr>
              <w:spacing w:after="0" w:line="240" w:lineRule="auto"/>
              <w:jc w:val="center"/>
              <w:rPr>
                <w:rFonts w:ascii="Calibri" w:eastAsia="Times New Roman" w:hAnsi="Calibri" w:cs="Calibri"/>
                <w:b/>
                <w:bCs/>
                <w:sz w:val="18"/>
                <w:szCs w:val="18"/>
              </w:rPr>
            </w:pPr>
            <w:r w:rsidRPr="00AC3C85">
              <w:rPr>
                <w:rFonts w:ascii="Calibri" w:eastAsia="Times New Roman" w:hAnsi="Calibri" w:cs="Calibri"/>
                <w:b/>
                <w:bCs/>
                <w:sz w:val="18"/>
                <w:szCs w:val="18"/>
              </w:rPr>
              <w:t>Description</w:t>
            </w:r>
          </w:p>
        </w:tc>
        <w:tc>
          <w:tcPr>
            <w:tcW w:w="4645" w:type="dxa"/>
            <w:gridSpan w:val="4"/>
            <w:tcBorders>
              <w:top w:val="single" w:sz="4" w:space="0" w:color="auto"/>
              <w:left w:val="nil"/>
              <w:bottom w:val="single" w:sz="4" w:space="0" w:color="auto"/>
              <w:right w:val="nil"/>
            </w:tcBorders>
            <w:noWrap/>
            <w:vAlign w:val="bottom"/>
            <w:hideMark/>
          </w:tcPr>
          <w:p w14:paraId="713A6797" w14:textId="77777777" w:rsidR="00585A57" w:rsidRPr="00AC3C85" w:rsidRDefault="00585A57">
            <w:pPr>
              <w:spacing w:after="0" w:line="240" w:lineRule="auto"/>
              <w:jc w:val="center"/>
              <w:rPr>
                <w:rFonts w:ascii="Calibri" w:eastAsia="Times New Roman" w:hAnsi="Calibri" w:cs="Calibri"/>
                <w:b/>
                <w:bCs/>
                <w:sz w:val="18"/>
                <w:szCs w:val="18"/>
              </w:rPr>
            </w:pPr>
            <w:r w:rsidRPr="00AC3C85">
              <w:rPr>
                <w:rFonts w:ascii="Calibri" w:eastAsia="Times New Roman" w:hAnsi="Calibri" w:cs="Calibri"/>
                <w:b/>
                <w:bCs/>
                <w:sz w:val="18"/>
                <w:szCs w:val="18"/>
              </w:rPr>
              <w:t>Loadings Scores</w:t>
            </w:r>
          </w:p>
        </w:tc>
      </w:tr>
      <w:tr w:rsidR="00585A57" w14:paraId="29D1BBCA" w14:textId="77777777" w:rsidTr="00585A57">
        <w:trPr>
          <w:trHeight w:val="315"/>
        </w:trPr>
        <w:tc>
          <w:tcPr>
            <w:tcW w:w="0" w:type="auto"/>
            <w:vMerge/>
            <w:tcBorders>
              <w:top w:val="single" w:sz="4" w:space="0" w:color="auto"/>
              <w:left w:val="nil"/>
              <w:bottom w:val="single" w:sz="8" w:space="0" w:color="000000"/>
              <w:right w:val="nil"/>
            </w:tcBorders>
            <w:vAlign w:val="center"/>
            <w:hideMark/>
          </w:tcPr>
          <w:p w14:paraId="1D56BE03" w14:textId="77777777" w:rsidR="00585A57" w:rsidRDefault="00585A57">
            <w:pPr>
              <w:spacing w:after="0"/>
              <w:rPr>
                <w:rFonts w:ascii="Calibri" w:eastAsia="Times New Roman" w:hAnsi="Calibri" w:cs="Calibri"/>
                <w:b/>
                <w:bCs/>
                <w:color w:val="000000"/>
                <w:sz w:val="18"/>
                <w:szCs w:val="18"/>
              </w:rPr>
            </w:pPr>
          </w:p>
        </w:tc>
        <w:tc>
          <w:tcPr>
            <w:tcW w:w="0" w:type="auto"/>
            <w:vMerge/>
            <w:tcBorders>
              <w:top w:val="single" w:sz="4" w:space="0" w:color="auto"/>
              <w:left w:val="nil"/>
              <w:bottom w:val="single" w:sz="8" w:space="0" w:color="000000"/>
              <w:right w:val="nil"/>
            </w:tcBorders>
            <w:vAlign w:val="center"/>
            <w:hideMark/>
          </w:tcPr>
          <w:p w14:paraId="23C431BD" w14:textId="77777777" w:rsidR="00585A57" w:rsidRPr="00AC3C85" w:rsidRDefault="00585A57">
            <w:pPr>
              <w:spacing w:after="0"/>
              <w:rPr>
                <w:rFonts w:ascii="Calibri" w:eastAsia="Times New Roman" w:hAnsi="Calibri" w:cs="Calibri"/>
                <w:b/>
                <w:bCs/>
                <w:sz w:val="18"/>
                <w:szCs w:val="18"/>
              </w:rPr>
            </w:pPr>
          </w:p>
        </w:tc>
        <w:tc>
          <w:tcPr>
            <w:tcW w:w="860" w:type="dxa"/>
            <w:tcBorders>
              <w:top w:val="nil"/>
              <w:left w:val="nil"/>
              <w:bottom w:val="single" w:sz="8" w:space="0" w:color="auto"/>
              <w:right w:val="nil"/>
            </w:tcBorders>
            <w:vAlign w:val="center"/>
            <w:hideMark/>
          </w:tcPr>
          <w:p w14:paraId="38B4DF6D" w14:textId="77777777" w:rsidR="00585A57" w:rsidRPr="00AC3C85" w:rsidRDefault="00585A57">
            <w:pPr>
              <w:spacing w:after="0" w:line="240" w:lineRule="auto"/>
              <w:jc w:val="center"/>
              <w:rPr>
                <w:rFonts w:ascii="Calibri" w:eastAsia="Times New Roman" w:hAnsi="Calibri" w:cs="Calibri"/>
                <w:b/>
                <w:bCs/>
                <w:sz w:val="18"/>
                <w:szCs w:val="18"/>
              </w:rPr>
            </w:pPr>
            <w:r w:rsidRPr="00AC3C85">
              <w:rPr>
                <w:rFonts w:ascii="Calibri" w:eastAsia="Times New Roman" w:hAnsi="Calibri" w:cs="Calibri"/>
                <w:b/>
                <w:bCs/>
                <w:sz w:val="18"/>
                <w:szCs w:val="18"/>
              </w:rPr>
              <w:t>Mean</w:t>
            </w:r>
          </w:p>
        </w:tc>
        <w:tc>
          <w:tcPr>
            <w:tcW w:w="860" w:type="dxa"/>
            <w:tcBorders>
              <w:top w:val="nil"/>
              <w:left w:val="nil"/>
              <w:bottom w:val="single" w:sz="8" w:space="0" w:color="auto"/>
              <w:right w:val="nil"/>
            </w:tcBorders>
            <w:vAlign w:val="center"/>
            <w:hideMark/>
          </w:tcPr>
          <w:p w14:paraId="0DEC222E" w14:textId="77777777" w:rsidR="00585A57" w:rsidRPr="00AC3C85" w:rsidRDefault="00585A57">
            <w:pPr>
              <w:spacing w:after="0" w:line="240" w:lineRule="auto"/>
              <w:jc w:val="center"/>
              <w:rPr>
                <w:rFonts w:ascii="Calibri" w:eastAsia="Times New Roman" w:hAnsi="Calibri" w:cs="Calibri"/>
                <w:b/>
                <w:bCs/>
                <w:sz w:val="18"/>
                <w:szCs w:val="18"/>
              </w:rPr>
            </w:pPr>
            <w:r w:rsidRPr="00AC3C85">
              <w:rPr>
                <w:rFonts w:ascii="Calibri" w:eastAsia="Times New Roman" w:hAnsi="Calibri" w:cs="Calibri"/>
                <w:b/>
                <w:bCs/>
                <w:sz w:val="18"/>
                <w:szCs w:val="18"/>
              </w:rPr>
              <w:t>SD</w:t>
            </w:r>
          </w:p>
        </w:tc>
        <w:tc>
          <w:tcPr>
            <w:tcW w:w="1960" w:type="dxa"/>
            <w:tcBorders>
              <w:top w:val="nil"/>
              <w:left w:val="nil"/>
              <w:bottom w:val="single" w:sz="8" w:space="0" w:color="auto"/>
              <w:right w:val="nil"/>
            </w:tcBorders>
            <w:vAlign w:val="center"/>
            <w:hideMark/>
          </w:tcPr>
          <w:p w14:paraId="36E8006D" w14:textId="77777777" w:rsidR="00585A57" w:rsidRPr="00AC3C85" w:rsidRDefault="00585A57">
            <w:pPr>
              <w:spacing w:after="0" w:line="240" w:lineRule="auto"/>
              <w:jc w:val="center"/>
              <w:rPr>
                <w:rFonts w:ascii="Calibri" w:eastAsia="Times New Roman" w:hAnsi="Calibri" w:cs="Calibri"/>
                <w:b/>
                <w:bCs/>
                <w:sz w:val="18"/>
                <w:szCs w:val="18"/>
              </w:rPr>
            </w:pPr>
            <w:r w:rsidRPr="00AC3C85">
              <w:rPr>
                <w:rFonts w:ascii="Calibri" w:eastAsia="Times New Roman" w:hAnsi="Calibri" w:cs="Calibri"/>
                <w:b/>
                <w:bCs/>
                <w:sz w:val="18"/>
                <w:szCs w:val="18"/>
              </w:rPr>
              <w:t>95% CI</w:t>
            </w:r>
          </w:p>
        </w:tc>
        <w:tc>
          <w:tcPr>
            <w:tcW w:w="965" w:type="dxa"/>
            <w:tcBorders>
              <w:top w:val="nil"/>
              <w:left w:val="nil"/>
              <w:bottom w:val="single" w:sz="8" w:space="0" w:color="auto"/>
              <w:right w:val="nil"/>
            </w:tcBorders>
            <w:vAlign w:val="center"/>
            <w:hideMark/>
          </w:tcPr>
          <w:p w14:paraId="7D651489" w14:textId="77777777" w:rsidR="00585A57" w:rsidRDefault="00585A57">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p value</w:t>
            </w:r>
          </w:p>
        </w:tc>
      </w:tr>
      <w:tr w:rsidR="00585A57" w14:paraId="7343FAFC" w14:textId="77777777" w:rsidTr="00AC3C85">
        <w:trPr>
          <w:trHeight w:val="345"/>
        </w:trPr>
        <w:tc>
          <w:tcPr>
            <w:tcW w:w="1095" w:type="dxa"/>
            <w:vMerge w:val="restart"/>
            <w:vAlign w:val="center"/>
            <w:hideMark/>
          </w:tcPr>
          <w:p w14:paraId="6E1DFD23" w14:textId="77777777" w:rsidR="00585A57" w:rsidRDefault="00585A57" w:rsidP="00585A57">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X</w:t>
            </w:r>
            <w:r>
              <w:rPr>
                <w:rFonts w:ascii="Calibri" w:eastAsia="Times New Roman" w:hAnsi="Calibri" w:cs="Calibri"/>
                <w:b/>
                <w:bCs/>
                <w:color w:val="000000"/>
                <w:sz w:val="18"/>
                <w:szCs w:val="18"/>
              </w:rPr>
              <w:br/>
              <w:t>(Grey Matter Volume)</w:t>
            </w:r>
          </w:p>
        </w:tc>
        <w:tc>
          <w:tcPr>
            <w:tcW w:w="3500" w:type="dxa"/>
            <w:noWrap/>
            <w:vAlign w:val="center"/>
            <w:hideMark/>
          </w:tcPr>
          <w:p w14:paraId="0F850FDE"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Inferior frontal gyrus - Pars opercularis</w:t>
            </w:r>
          </w:p>
        </w:tc>
        <w:tc>
          <w:tcPr>
            <w:tcW w:w="860" w:type="dxa"/>
            <w:noWrap/>
            <w:vAlign w:val="center"/>
          </w:tcPr>
          <w:p w14:paraId="7EBE7DB4" w14:textId="76ED862F" w:rsidR="00585A57" w:rsidRPr="00AC3C85" w:rsidRDefault="00543F7D"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-0.0494</w:t>
            </w:r>
          </w:p>
        </w:tc>
        <w:tc>
          <w:tcPr>
            <w:tcW w:w="860" w:type="dxa"/>
            <w:noWrap/>
            <w:vAlign w:val="center"/>
          </w:tcPr>
          <w:p w14:paraId="6CE95C39" w14:textId="18E5B7B4" w:rsidR="00585A57" w:rsidRPr="00AC3C85" w:rsidRDefault="00543F7D"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0.8809</w:t>
            </w:r>
          </w:p>
        </w:tc>
        <w:tc>
          <w:tcPr>
            <w:tcW w:w="1960" w:type="dxa"/>
            <w:noWrap/>
            <w:vAlign w:val="center"/>
            <w:hideMark/>
          </w:tcPr>
          <w:p w14:paraId="4F83DE08" w14:textId="1865DB44"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543F7D" w:rsidRPr="00AC3C85">
              <w:rPr>
                <w:rFonts w:ascii="Calibri" w:eastAsia="Times New Roman" w:hAnsi="Calibri" w:cs="Calibri"/>
                <w:sz w:val="18"/>
                <w:szCs w:val="18"/>
              </w:rPr>
              <w:t>-0.0738, -0.0245</w:t>
            </w:r>
            <w:r w:rsidRPr="00AC3C85">
              <w:rPr>
                <w:rFonts w:ascii="Calibri" w:eastAsia="Times New Roman" w:hAnsi="Calibri" w:cs="Calibri"/>
                <w:sz w:val="18"/>
                <w:szCs w:val="18"/>
              </w:rPr>
              <w:t>]</w:t>
            </w:r>
          </w:p>
        </w:tc>
        <w:tc>
          <w:tcPr>
            <w:tcW w:w="965" w:type="dxa"/>
            <w:noWrap/>
            <w:vAlign w:val="center"/>
            <w:hideMark/>
          </w:tcPr>
          <w:p w14:paraId="10E9C555" w14:textId="5C415954" w:rsidR="00585A57" w:rsidRDefault="00585A57" w:rsidP="00AC3C8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lang w:eastAsia="en-AU"/>
              </w:rPr>
              <w:t>*</w:t>
            </w:r>
            <w:r w:rsidRPr="00D802FC">
              <w:rPr>
                <w:rFonts w:ascii="Calibri" w:eastAsia="Times New Roman" w:hAnsi="Calibri" w:cs="Calibri"/>
                <w:color w:val="000000"/>
                <w:sz w:val="18"/>
                <w:szCs w:val="18"/>
                <w:lang w:eastAsia="en-AU"/>
              </w:rPr>
              <w:t>0.012</w:t>
            </w:r>
          </w:p>
        </w:tc>
      </w:tr>
      <w:tr w:rsidR="00585A57" w14:paraId="695A7376" w14:textId="77777777" w:rsidTr="00AC3C85">
        <w:trPr>
          <w:trHeight w:val="345"/>
        </w:trPr>
        <w:tc>
          <w:tcPr>
            <w:tcW w:w="0" w:type="auto"/>
            <w:vMerge/>
            <w:vAlign w:val="center"/>
            <w:hideMark/>
          </w:tcPr>
          <w:p w14:paraId="12007CBA"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37BDA3B1"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Inferior frontal gyrus - Pars orbitalis</w:t>
            </w:r>
          </w:p>
        </w:tc>
        <w:tc>
          <w:tcPr>
            <w:tcW w:w="860" w:type="dxa"/>
            <w:noWrap/>
            <w:vAlign w:val="center"/>
          </w:tcPr>
          <w:p w14:paraId="013D9904" w14:textId="141A6610"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-0.0225</w:t>
            </w:r>
          </w:p>
        </w:tc>
        <w:tc>
          <w:tcPr>
            <w:tcW w:w="860" w:type="dxa"/>
            <w:noWrap/>
            <w:vAlign w:val="center"/>
          </w:tcPr>
          <w:p w14:paraId="3323EE85" w14:textId="773FD83E"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0.4270</w:t>
            </w:r>
          </w:p>
        </w:tc>
        <w:tc>
          <w:tcPr>
            <w:tcW w:w="1960" w:type="dxa"/>
            <w:noWrap/>
            <w:vAlign w:val="center"/>
            <w:hideMark/>
          </w:tcPr>
          <w:p w14:paraId="04822369" w14:textId="5BB39135"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-0.0343</w:t>
            </w:r>
            <w:r w:rsidR="00EA76C2" w:rsidRPr="00AC3C85">
              <w:rPr>
                <w:rFonts w:ascii="Calibri" w:eastAsia="Times New Roman" w:hAnsi="Calibri" w:cs="Calibri"/>
                <w:sz w:val="18"/>
                <w:szCs w:val="18"/>
              </w:rPr>
              <w:t>,</w:t>
            </w:r>
            <w:r w:rsidR="006A4D64" w:rsidRPr="00AC3C85">
              <w:rPr>
                <w:rFonts w:ascii="Calibri" w:eastAsia="Times New Roman" w:hAnsi="Calibri" w:cs="Calibri"/>
                <w:sz w:val="18"/>
                <w:szCs w:val="18"/>
              </w:rPr>
              <w:t xml:space="preserve"> -0.0106</w:t>
            </w:r>
            <w:r w:rsidRPr="00AC3C85">
              <w:rPr>
                <w:rFonts w:ascii="Calibri" w:eastAsia="Times New Roman" w:hAnsi="Calibri" w:cs="Calibri"/>
                <w:sz w:val="18"/>
                <w:szCs w:val="18"/>
              </w:rPr>
              <w:t>]</w:t>
            </w:r>
          </w:p>
        </w:tc>
        <w:tc>
          <w:tcPr>
            <w:tcW w:w="965" w:type="dxa"/>
            <w:noWrap/>
            <w:vAlign w:val="center"/>
            <w:hideMark/>
          </w:tcPr>
          <w:p w14:paraId="0F952FE1" w14:textId="53B34F6A" w:rsidR="00585A57" w:rsidRDefault="00585A57" w:rsidP="00AC3C85">
            <w:pPr>
              <w:spacing w:after="0" w:line="240" w:lineRule="auto"/>
              <w:jc w:val="center"/>
              <w:rPr>
                <w:rFonts w:ascii="Calibri" w:eastAsia="Times New Roman" w:hAnsi="Calibri" w:cs="Calibri"/>
                <w:color w:val="000000"/>
                <w:sz w:val="18"/>
                <w:szCs w:val="18"/>
              </w:rPr>
            </w:pPr>
            <w:r w:rsidRPr="00D802FC">
              <w:rPr>
                <w:rFonts w:ascii="Calibri" w:eastAsia="Times New Roman" w:hAnsi="Calibri" w:cs="Calibri"/>
                <w:color w:val="000000"/>
                <w:sz w:val="18"/>
                <w:szCs w:val="18"/>
                <w:lang w:eastAsia="en-AU"/>
              </w:rPr>
              <w:t>0.356</w:t>
            </w:r>
          </w:p>
        </w:tc>
      </w:tr>
      <w:tr w:rsidR="00585A57" w14:paraId="26B933E8" w14:textId="77777777" w:rsidTr="00AC3C85">
        <w:trPr>
          <w:trHeight w:val="345"/>
        </w:trPr>
        <w:tc>
          <w:tcPr>
            <w:tcW w:w="0" w:type="auto"/>
            <w:vMerge/>
            <w:vAlign w:val="center"/>
            <w:hideMark/>
          </w:tcPr>
          <w:p w14:paraId="4E0C5836"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4AA0E5C9"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Inferior frontal gyrus - Pars triangularis</w:t>
            </w:r>
          </w:p>
        </w:tc>
        <w:tc>
          <w:tcPr>
            <w:tcW w:w="860" w:type="dxa"/>
            <w:noWrap/>
            <w:vAlign w:val="center"/>
          </w:tcPr>
          <w:p w14:paraId="199C2584" w14:textId="6D312DF7"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-0.0272</w:t>
            </w:r>
          </w:p>
        </w:tc>
        <w:tc>
          <w:tcPr>
            <w:tcW w:w="860" w:type="dxa"/>
            <w:noWrap/>
            <w:vAlign w:val="center"/>
          </w:tcPr>
          <w:p w14:paraId="1657F619" w14:textId="29923E25"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0.526</w:t>
            </w:r>
            <w:r w:rsidR="00EA76C2" w:rsidRPr="00AC3C85">
              <w:rPr>
                <w:rFonts w:ascii="Calibri" w:eastAsia="Times New Roman" w:hAnsi="Calibri" w:cs="Calibri"/>
                <w:sz w:val="18"/>
                <w:szCs w:val="18"/>
              </w:rPr>
              <w:t>6</w:t>
            </w:r>
          </w:p>
        </w:tc>
        <w:tc>
          <w:tcPr>
            <w:tcW w:w="1960" w:type="dxa"/>
            <w:noWrap/>
            <w:vAlign w:val="center"/>
            <w:hideMark/>
          </w:tcPr>
          <w:p w14:paraId="4788D8F3" w14:textId="1A6B8BE6"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-0.0418</w:t>
            </w:r>
            <w:r w:rsidR="00EA76C2" w:rsidRPr="00AC3C85">
              <w:rPr>
                <w:rFonts w:ascii="Calibri" w:eastAsia="Times New Roman" w:hAnsi="Calibri" w:cs="Calibri"/>
                <w:sz w:val="18"/>
                <w:szCs w:val="18"/>
              </w:rPr>
              <w:t>,</w:t>
            </w:r>
            <w:r w:rsidR="006A4D64" w:rsidRPr="00AC3C85">
              <w:rPr>
                <w:rFonts w:ascii="Calibri" w:eastAsia="Times New Roman" w:hAnsi="Calibri" w:cs="Calibri"/>
                <w:sz w:val="18"/>
                <w:szCs w:val="18"/>
              </w:rPr>
              <w:t xml:space="preserve"> -0.012</w:t>
            </w:r>
            <w:r w:rsidR="00EA76C2" w:rsidRPr="00AC3C85">
              <w:rPr>
                <w:rFonts w:ascii="Calibri" w:eastAsia="Times New Roman" w:hAnsi="Calibri" w:cs="Calibri"/>
                <w:sz w:val="18"/>
                <w:szCs w:val="18"/>
              </w:rPr>
              <w:t>7</w:t>
            </w:r>
            <w:r w:rsidRPr="00AC3C85">
              <w:rPr>
                <w:rFonts w:ascii="Calibri" w:eastAsia="Times New Roman" w:hAnsi="Calibri" w:cs="Calibri"/>
                <w:sz w:val="18"/>
                <w:szCs w:val="18"/>
              </w:rPr>
              <w:t>]</w:t>
            </w:r>
          </w:p>
        </w:tc>
        <w:tc>
          <w:tcPr>
            <w:tcW w:w="965" w:type="dxa"/>
            <w:noWrap/>
            <w:vAlign w:val="center"/>
            <w:hideMark/>
          </w:tcPr>
          <w:p w14:paraId="67F7C122" w14:textId="41D0C38A" w:rsidR="00585A57" w:rsidRDefault="00585A57" w:rsidP="00AC3C85">
            <w:pPr>
              <w:spacing w:after="0" w:line="240" w:lineRule="auto"/>
              <w:jc w:val="center"/>
              <w:rPr>
                <w:rFonts w:ascii="Calibri" w:eastAsia="Times New Roman" w:hAnsi="Calibri" w:cs="Calibri"/>
                <w:color w:val="000000"/>
                <w:sz w:val="18"/>
                <w:szCs w:val="18"/>
              </w:rPr>
            </w:pPr>
            <w:r w:rsidRPr="00D802FC">
              <w:rPr>
                <w:rFonts w:ascii="Calibri" w:eastAsia="Times New Roman" w:hAnsi="Calibri" w:cs="Calibri"/>
                <w:color w:val="000000"/>
                <w:sz w:val="18"/>
                <w:szCs w:val="18"/>
                <w:lang w:eastAsia="en-AU"/>
              </w:rPr>
              <w:t>0.241</w:t>
            </w:r>
          </w:p>
        </w:tc>
      </w:tr>
      <w:tr w:rsidR="00585A57" w14:paraId="404F87D2" w14:textId="77777777" w:rsidTr="00AC3C85">
        <w:trPr>
          <w:trHeight w:val="345"/>
        </w:trPr>
        <w:tc>
          <w:tcPr>
            <w:tcW w:w="0" w:type="auto"/>
            <w:vMerge/>
            <w:vAlign w:val="center"/>
            <w:hideMark/>
          </w:tcPr>
          <w:p w14:paraId="2A091D1B"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3AAE55C6"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Middle frontal gyrus</w:t>
            </w:r>
          </w:p>
        </w:tc>
        <w:tc>
          <w:tcPr>
            <w:tcW w:w="860" w:type="dxa"/>
            <w:noWrap/>
            <w:vAlign w:val="center"/>
          </w:tcPr>
          <w:p w14:paraId="4D1D52EA" w14:textId="56623267"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-0.040</w:t>
            </w:r>
            <w:r w:rsidR="00EA76C2" w:rsidRPr="00AC3C85">
              <w:rPr>
                <w:rFonts w:ascii="Calibri" w:eastAsia="Times New Roman" w:hAnsi="Calibri" w:cs="Calibri"/>
                <w:sz w:val="18"/>
                <w:szCs w:val="18"/>
              </w:rPr>
              <w:t>5</w:t>
            </w:r>
          </w:p>
        </w:tc>
        <w:tc>
          <w:tcPr>
            <w:tcW w:w="860" w:type="dxa"/>
            <w:noWrap/>
            <w:vAlign w:val="center"/>
          </w:tcPr>
          <w:p w14:paraId="7902A782" w14:textId="4889AD63"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0.731</w:t>
            </w:r>
            <w:r w:rsidR="00EA76C2" w:rsidRPr="00AC3C85">
              <w:rPr>
                <w:rFonts w:ascii="Calibri" w:eastAsia="Times New Roman" w:hAnsi="Calibri" w:cs="Calibri"/>
                <w:sz w:val="18"/>
                <w:szCs w:val="18"/>
              </w:rPr>
              <w:t>7</w:t>
            </w:r>
          </w:p>
        </w:tc>
        <w:tc>
          <w:tcPr>
            <w:tcW w:w="1960" w:type="dxa"/>
            <w:noWrap/>
            <w:vAlign w:val="center"/>
            <w:hideMark/>
          </w:tcPr>
          <w:p w14:paraId="75E11185" w14:textId="2B0ADD14"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-0.060</w:t>
            </w:r>
            <w:r w:rsidR="00EA76C2" w:rsidRPr="00AC3C85">
              <w:rPr>
                <w:rFonts w:ascii="Calibri" w:eastAsia="Times New Roman" w:hAnsi="Calibri" w:cs="Calibri"/>
                <w:sz w:val="18"/>
                <w:szCs w:val="18"/>
              </w:rPr>
              <w:t>88,</w:t>
            </w:r>
            <w:r w:rsidR="006A4D64" w:rsidRPr="00AC3C85">
              <w:rPr>
                <w:rFonts w:ascii="Calibri" w:eastAsia="Times New Roman" w:hAnsi="Calibri" w:cs="Calibri"/>
                <w:sz w:val="18"/>
                <w:szCs w:val="18"/>
              </w:rPr>
              <w:t xml:space="preserve"> -0.020</w:t>
            </w:r>
            <w:r w:rsidR="00EA76C2" w:rsidRPr="00AC3C85">
              <w:rPr>
                <w:rFonts w:ascii="Calibri" w:eastAsia="Times New Roman" w:hAnsi="Calibri" w:cs="Calibri"/>
                <w:sz w:val="18"/>
                <w:szCs w:val="18"/>
              </w:rPr>
              <w:t>2</w:t>
            </w:r>
            <w:r w:rsidRPr="00AC3C85">
              <w:rPr>
                <w:rFonts w:ascii="Calibri" w:eastAsia="Times New Roman" w:hAnsi="Calibri" w:cs="Calibri"/>
                <w:sz w:val="18"/>
                <w:szCs w:val="18"/>
              </w:rPr>
              <w:t>]</w:t>
            </w:r>
          </w:p>
        </w:tc>
        <w:tc>
          <w:tcPr>
            <w:tcW w:w="965" w:type="dxa"/>
            <w:noWrap/>
            <w:vAlign w:val="center"/>
            <w:hideMark/>
          </w:tcPr>
          <w:p w14:paraId="566A1FB7" w14:textId="3ABD42F5" w:rsidR="00585A57" w:rsidRDefault="00585A57" w:rsidP="00AC3C85">
            <w:pPr>
              <w:spacing w:after="0" w:line="240" w:lineRule="auto"/>
              <w:jc w:val="center"/>
              <w:rPr>
                <w:rFonts w:ascii="Calibri" w:eastAsia="Times New Roman" w:hAnsi="Calibri" w:cs="Calibri"/>
                <w:color w:val="000000"/>
                <w:sz w:val="18"/>
                <w:szCs w:val="18"/>
              </w:rPr>
            </w:pPr>
            <w:r w:rsidRPr="00D802FC">
              <w:rPr>
                <w:rFonts w:ascii="Calibri" w:eastAsia="Times New Roman" w:hAnsi="Calibri" w:cs="Calibri"/>
                <w:color w:val="000000"/>
                <w:sz w:val="18"/>
                <w:szCs w:val="18"/>
                <w:lang w:eastAsia="en-AU"/>
              </w:rPr>
              <w:t>0.073</w:t>
            </w:r>
          </w:p>
        </w:tc>
      </w:tr>
      <w:tr w:rsidR="00585A57" w14:paraId="07E3A691" w14:textId="77777777" w:rsidTr="00AC3C85">
        <w:trPr>
          <w:trHeight w:val="345"/>
        </w:trPr>
        <w:tc>
          <w:tcPr>
            <w:tcW w:w="0" w:type="auto"/>
            <w:vMerge/>
            <w:vAlign w:val="center"/>
            <w:hideMark/>
          </w:tcPr>
          <w:p w14:paraId="461A630C"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7D56A271"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Superior frontal gyrus</w:t>
            </w:r>
          </w:p>
        </w:tc>
        <w:tc>
          <w:tcPr>
            <w:tcW w:w="860" w:type="dxa"/>
            <w:noWrap/>
            <w:vAlign w:val="center"/>
          </w:tcPr>
          <w:p w14:paraId="7FA2B625" w14:textId="5AD00C00"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-0.0454</w:t>
            </w:r>
          </w:p>
        </w:tc>
        <w:tc>
          <w:tcPr>
            <w:tcW w:w="860" w:type="dxa"/>
            <w:noWrap/>
            <w:vAlign w:val="center"/>
          </w:tcPr>
          <w:p w14:paraId="20329544" w14:textId="7A693DA1"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0.7878</w:t>
            </w:r>
          </w:p>
        </w:tc>
        <w:tc>
          <w:tcPr>
            <w:tcW w:w="1960" w:type="dxa"/>
            <w:noWrap/>
            <w:vAlign w:val="center"/>
            <w:hideMark/>
          </w:tcPr>
          <w:p w14:paraId="4F9513DD" w14:textId="41271662"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-0.0672</w:t>
            </w:r>
            <w:r w:rsidR="00EA76C2" w:rsidRPr="00AC3C85">
              <w:rPr>
                <w:rFonts w:ascii="Calibri" w:eastAsia="Times New Roman" w:hAnsi="Calibri" w:cs="Calibri"/>
                <w:sz w:val="18"/>
                <w:szCs w:val="18"/>
              </w:rPr>
              <w:t>,</w:t>
            </w:r>
            <w:r w:rsidR="006A4D64" w:rsidRPr="00AC3C85">
              <w:rPr>
                <w:rFonts w:ascii="Calibri" w:eastAsia="Times New Roman" w:hAnsi="Calibri" w:cs="Calibri"/>
                <w:sz w:val="18"/>
                <w:szCs w:val="18"/>
              </w:rPr>
              <w:t xml:space="preserve"> -0.023</w:t>
            </w:r>
            <w:r w:rsidR="00EA76C2" w:rsidRPr="00AC3C85">
              <w:rPr>
                <w:rFonts w:ascii="Calibri" w:eastAsia="Times New Roman" w:hAnsi="Calibri" w:cs="Calibri"/>
                <w:sz w:val="18"/>
                <w:szCs w:val="18"/>
              </w:rPr>
              <w:t>6</w:t>
            </w:r>
            <w:r w:rsidRPr="00AC3C85">
              <w:rPr>
                <w:rFonts w:ascii="Calibri" w:eastAsia="Times New Roman" w:hAnsi="Calibri" w:cs="Calibri"/>
                <w:sz w:val="18"/>
                <w:szCs w:val="18"/>
              </w:rPr>
              <w:t>]</w:t>
            </w:r>
          </w:p>
        </w:tc>
        <w:tc>
          <w:tcPr>
            <w:tcW w:w="965" w:type="dxa"/>
            <w:noWrap/>
            <w:vAlign w:val="center"/>
            <w:hideMark/>
          </w:tcPr>
          <w:p w14:paraId="2527EE09" w14:textId="6C1B3209" w:rsidR="00585A57" w:rsidRDefault="00585A57" w:rsidP="00AC3C8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lang w:eastAsia="en-AU"/>
              </w:rPr>
              <w:t>*</w:t>
            </w:r>
            <w:r w:rsidRPr="00D802FC">
              <w:rPr>
                <w:rFonts w:ascii="Calibri" w:eastAsia="Times New Roman" w:hAnsi="Calibri" w:cs="Calibri"/>
                <w:color w:val="000000"/>
                <w:sz w:val="18"/>
                <w:szCs w:val="18"/>
                <w:lang w:eastAsia="en-AU"/>
              </w:rPr>
              <w:t>0.035</w:t>
            </w:r>
          </w:p>
        </w:tc>
      </w:tr>
      <w:tr w:rsidR="00585A57" w14:paraId="52B7B951" w14:textId="77777777" w:rsidTr="00AC3C85">
        <w:trPr>
          <w:trHeight w:val="345"/>
        </w:trPr>
        <w:tc>
          <w:tcPr>
            <w:tcW w:w="0" w:type="auto"/>
            <w:vMerge/>
            <w:vAlign w:val="center"/>
            <w:hideMark/>
          </w:tcPr>
          <w:p w14:paraId="4379AD3E"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2DF7EF94"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Orbital sulci (H-shaped sulci)</w:t>
            </w:r>
          </w:p>
        </w:tc>
        <w:tc>
          <w:tcPr>
            <w:tcW w:w="860" w:type="dxa"/>
            <w:noWrap/>
            <w:vAlign w:val="center"/>
          </w:tcPr>
          <w:p w14:paraId="1BAEC241" w14:textId="0E2262C8"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-0.034</w:t>
            </w:r>
            <w:r w:rsidR="00482362" w:rsidRPr="00AC3C85">
              <w:rPr>
                <w:rFonts w:ascii="Calibri" w:eastAsia="Times New Roman" w:hAnsi="Calibri" w:cs="Calibri"/>
                <w:sz w:val="18"/>
                <w:szCs w:val="18"/>
              </w:rPr>
              <w:t>4</w:t>
            </w:r>
          </w:p>
        </w:tc>
        <w:tc>
          <w:tcPr>
            <w:tcW w:w="860" w:type="dxa"/>
            <w:noWrap/>
            <w:vAlign w:val="center"/>
          </w:tcPr>
          <w:p w14:paraId="1A5F0804" w14:textId="58344455"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0.5863</w:t>
            </w:r>
          </w:p>
        </w:tc>
        <w:tc>
          <w:tcPr>
            <w:tcW w:w="1960" w:type="dxa"/>
            <w:noWrap/>
            <w:vAlign w:val="center"/>
            <w:hideMark/>
          </w:tcPr>
          <w:p w14:paraId="4AC3311B" w14:textId="7CDBA565"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-0.0506</w:t>
            </w:r>
            <w:r w:rsidR="00482362" w:rsidRPr="00AC3C85">
              <w:rPr>
                <w:rFonts w:ascii="Calibri" w:eastAsia="Times New Roman" w:hAnsi="Calibri" w:cs="Calibri"/>
                <w:sz w:val="18"/>
                <w:szCs w:val="18"/>
              </w:rPr>
              <w:t>,</w:t>
            </w:r>
            <w:r w:rsidR="006A4D64" w:rsidRPr="00AC3C85">
              <w:rPr>
                <w:rFonts w:ascii="Calibri" w:eastAsia="Times New Roman" w:hAnsi="Calibri" w:cs="Calibri"/>
                <w:sz w:val="18"/>
                <w:szCs w:val="18"/>
              </w:rPr>
              <w:t xml:space="preserve"> -0.0181</w:t>
            </w:r>
            <w:r w:rsidRPr="00AC3C85">
              <w:rPr>
                <w:rFonts w:ascii="Calibri" w:eastAsia="Times New Roman" w:hAnsi="Calibri" w:cs="Calibri"/>
                <w:sz w:val="18"/>
                <w:szCs w:val="18"/>
              </w:rPr>
              <w:t>]</w:t>
            </w:r>
          </w:p>
        </w:tc>
        <w:tc>
          <w:tcPr>
            <w:tcW w:w="965" w:type="dxa"/>
            <w:noWrap/>
            <w:vAlign w:val="center"/>
            <w:hideMark/>
          </w:tcPr>
          <w:p w14:paraId="3D3FC6BB" w14:textId="52627B0D" w:rsidR="00585A57" w:rsidRDefault="00585A57" w:rsidP="00AC3C85">
            <w:pPr>
              <w:spacing w:after="0" w:line="240" w:lineRule="auto"/>
              <w:jc w:val="center"/>
              <w:rPr>
                <w:rFonts w:ascii="Calibri" w:eastAsia="Times New Roman" w:hAnsi="Calibri" w:cs="Calibri"/>
                <w:color w:val="000000"/>
                <w:sz w:val="18"/>
                <w:szCs w:val="18"/>
              </w:rPr>
            </w:pPr>
            <w:r w:rsidRPr="00D802FC">
              <w:rPr>
                <w:rFonts w:ascii="Calibri" w:eastAsia="Times New Roman" w:hAnsi="Calibri" w:cs="Calibri"/>
                <w:color w:val="000000"/>
                <w:sz w:val="18"/>
                <w:szCs w:val="18"/>
                <w:lang w:eastAsia="en-AU"/>
              </w:rPr>
              <w:t>0.140</w:t>
            </w:r>
          </w:p>
        </w:tc>
      </w:tr>
      <w:tr w:rsidR="00585A57" w14:paraId="68CCC0A3" w14:textId="77777777" w:rsidTr="00AC3C85">
        <w:trPr>
          <w:trHeight w:val="345"/>
        </w:trPr>
        <w:tc>
          <w:tcPr>
            <w:tcW w:w="1095" w:type="dxa"/>
            <w:noWrap/>
            <w:vAlign w:val="bottom"/>
            <w:hideMark/>
          </w:tcPr>
          <w:p w14:paraId="6D4D39E8" w14:textId="77777777" w:rsidR="00585A57" w:rsidRDefault="00585A57" w:rsidP="00585A57">
            <w:pPr>
              <w:rPr>
                <w:rFonts w:ascii="Calibri" w:eastAsia="Times New Roman" w:hAnsi="Calibri" w:cs="Calibri"/>
                <w:color w:val="000000"/>
                <w:sz w:val="18"/>
                <w:szCs w:val="18"/>
              </w:rPr>
            </w:pPr>
          </w:p>
        </w:tc>
        <w:tc>
          <w:tcPr>
            <w:tcW w:w="3500" w:type="dxa"/>
            <w:noWrap/>
            <w:vAlign w:val="center"/>
            <w:hideMark/>
          </w:tcPr>
          <w:p w14:paraId="46B35F2F" w14:textId="77777777" w:rsidR="00585A57" w:rsidRPr="00AC3C85" w:rsidRDefault="00585A57" w:rsidP="00AC3C85">
            <w:pPr>
              <w:spacing w:after="0"/>
              <w:rPr>
                <w:sz w:val="20"/>
                <w:szCs w:val="20"/>
              </w:rPr>
            </w:pPr>
          </w:p>
        </w:tc>
        <w:tc>
          <w:tcPr>
            <w:tcW w:w="860" w:type="dxa"/>
            <w:noWrap/>
            <w:vAlign w:val="center"/>
          </w:tcPr>
          <w:p w14:paraId="6A57691C" w14:textId="77777777" w:rsidR="00585A57" w:rsidRPr="00AC3C85" w:rsidRDefault="00585A57" w:rsidP="00AC3C85">
            <w:pPr>
              <w:spacing w:after="0"/>
              <w:jc w:val="center"/>
              <w:rPr>
                <w:sz w:val="20"/>
                <w:szCs w:val="20"/>
              </w:rPr>
            </w:pPr>
          </w:p>
        </w:tc>
        <w:tc>
          <w:tcPr>
            <w:tcW w:w="860" w:type="dxa"/>
            <w:noWrap/>
            <w:vAlign w:val="center"/>
          </w:tcPr>
          <w:p w14:paraId="36684B9D" w14:textId="77777777" w:rsidR="00585A57" w:rsidRPr="00AC3C85" w:rsidRDefault="00585A57" w:rsidP="00AC3C85">
            <w:pPr>
              <w:spacing w:after="0"/>
              <w:jc w:val="center"/>
              <w:rPr>
                <w:sz w:val="20"/>
                <w:szCs w:val="20"/>
              </w:rPr>
            </w:pPr>
          </w:p>
        </w:tc>
        <w:tc>
          <w:tcPr>
            <w:tcW w:w="1960" w:type="dxa"/>
            <w:noWrap/>
            <w:vAlign w:val="center"/>
            <w:hideMark/>
          </w:tcPr>
          <w:p w14:paraId="5A2983DA" w14:textId="77777777" w:rsidR="00585A57" w:rsidRPr="00AC3C85" w:rsidRDefault="00585A57" w:rsidP="00AC3C85">
            <w:pPr>
              <w:spacing w:after="0"/>
              <w:jc w:val="center"/>
              <w:rPr>
                <w:sz w:val="20"/>
                <w:szCs w:val="20"/>
              </w:rPr>
            </w:pPr>
          </w:p>
        </w:tc>
        <w:tc>
          <w:tcPr>
            <w:tcW w:w="965" w:type="dxa"/>
            <w:noWrap/>
            <w:vAlign w:val="center"/>
            <w:hideMark/>
          </w:tcPr>
          <w:p w14:paraId="05B4166B" w14:textId="77777777" w:rsidR="00585A57" w:rsidRDefault="00585A57" w:rsidP="00AC3C85">
            <w:pPr>
              <w:spacing w:after="0"/>
              <w:jc w:val="center"/>
              <w:rPr>
                <w:sz w:val="20"/>
                <w:szCs w:val="20"/>
              </w:rPr>
            </w:pPr>
          </w:p>
        </w:tc>
      </w:tr>
      <w:tr w:rsidR="00585A57" w14:paraId="2EE1AB40" w14:textId="77777777" w:rsidTr="00AC3C85">
        <w:trPr>
          <w:trHeight w:val="345"/>
        </w:trPr>
        <w:tc>
          <w:tcPr>
            <w:tcW w:w="1095" w:type="dxa"/>
            <w:vMerge w:val="restart"/>
            <w:tcBorders>
              <w:top w:val="nil"/>
              <w:left w:val="nil"/>
              <w:bottom w:val="single" w:sz="8" w:space="0" w:color="000000"/>
              <w:right w:val="nil"/>
            </w:tcBorders>
            <w:vAlign w:val="center"/>
            <w:hideMark/>
          </w:tcPr>
          <w:p w14:paraId="12072F25" w14:textId="77777777" w:rsidR="00585A57" w:rsidRDefault="00585A57" w:rsidP="00585A57">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Y</w:t>
            </w:r>
            <w:r>
              <w:rPr>
                <w:rFonts w:ascii="Calibri" w:eastAsia="Times New Roman" w:hAnsi="Calibri" w:cs="Calibri"/>
                <w:b/>
                <w:bCs/>
                <w:color w:val="000000"/>
                <w:sz w:val="18"/>
                <w:szCs w:val="18"/>
              </w:rPr>
              <w:br/>
              <w:t>(Memory Scores)</w:t>
            </w:r>
          </w:p>
        </w:tc>
        <w:tc>
          <w:tcPr>
            <w:tcW w:w="3500" w:type="dxa"/>
            <w:noWrap/>
            <w:vAlign w:val="center"/>
            <w:hideMark/>
          </w:tcPr>
          <w:p w14:paraId="38A85092"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Item Mem. – Positive Background</w:t>
            </w:r>
          </w:p>
        </w:tc>
        <w:tc>
          <w:tcPr>
            <w:tcW w:w="860" w:type="dxa"/>
            <w:noWrap/>
            <w:vAlign w:val="center"/>
          </w:tcPr>
          <w:p w14:paraId="2C27B85F" w14:textId="7ED14304"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-0.0428</w:t>
            </w:r>
          </w:p>
        </w:tc>
        <w:tc>
          <w:tcPr>
            <w:tcW w:w="860" w:type="dxa"/>
            <w:noWrap/>
            <w:vAlign w:val="center"/>
          </w:tcPr>
          <w:p w14:paraId="0AD8EB5B" w14:textId="3D04DFF2"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0.7510</w:t>
            </w:r>
          </w:p>
        </w:tc>
        <w:tc>
          <w:tcPr>
            <w:tcW w:w="1960" w:type="dxa"/>
            <w:noWrap/>
            <w:vAlign w:val="center"/>
            <w:hideMark/>
          </w:tcPr>
          <w:p w14:paraId="3EC9C98A" w14:textId="3E4751D1"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-0.0636</w:t>
            </w:r>
            <w:r w:rsidR="00AC3C85" w:rsidRPr="00AC3C85">
              <w:rPr>
                <w:rFonts w:ascii="Calibri" w:eastAsia="Times New Roman" w:hAnsi="Calibri" w:cs="Calibri"/>
                <w:sz w:val="18"/>
                <w:szCs w:val="18"/>
              </w:rPr>
              <w:t>,</w:t>
            </w:r>
            <w:r w:rsidR="006A4D64" w:rsidRPr="00AC3C85">
              <w:rPr>
                <w:rFonts w:ascii="Calibri" w:eastAsia="Times New Roman" w:hAnsi="Calibri" w:cs="Calibri"/>
                <w:sz w:val="18"/>
                <w:szCs w:val="18"/>
              </w:rPr>
              <w:t xml:space="preserve"> -0.0219</w:t>
            </w:r>
            <w:r w:rsidRPr="00AC3C85">
              <w:rPr>
                <w:rFonts w:ascii="Calibri" w:eastAsia="Times New Roman" w:hAnsi="Calibri" w:cs="Calibri"/>
                <w:sz w:val="18"/>
                <w:szCs w:val="18"/>
              </w:rPr>
              <w:t>]</w:t>
            </w:r>
          </w:p>
        </w:tc>
        <w:tc>
          <w:tcPr>
            <w:tcW w:w="965" w:type="dxa"/>
            <w:noWrap/>
            <w:vAlign w:val="center"/>
            <w:hideMark/>
          </w:tcPr>
          <w:p w14:paraId="5E4597E9" w14:textId="4E8C8B36" w:rsidR="00585A57" w:rsidRDefault="00585A57" w:rsidP="00AC3C85">
            <w:pPr>
              <w:spacing w:after="0" w:line="240" w:lineRule="auto"/>
              <w:jc w:val="center"/>
              <w:rPr>
                <w:rFonts w:ascii="Calibri" w:eastAsia="Times New Roman" w:hAnsi="Calibri" w:cs="Calibri"/>
                <w:color w:val="000000"/>
                <w:sz w:val="18"/>
                <w:szCs w:val="18"/>
              </w:rPr>
            </w:pPr>
            <w:r w:rsidRPr="00D802FC">
              <w:rPr>
                <w:rFonts w:ascii="Calibri" w:eastAsia="Times New Roman" w:hAnsi="Calibri" w:cs="Calibri"/>
                <w:color w:val="000000"/>
                <w:sz w:val="18"/>
                <w:szCs w:val="18"/>
                <w:lang w:eastAsia="en-AU"/>
              </w:rPr>
              <w:t>0.052</w:t>
            </w:r>
          </w:p>
        </w:tc>
      </w:tr>
      <w:tr w:rsidR="00585A57" w14:paraId="75469381" w14:textId="77777777" w:rsidTr="00AC3C85">
        <w:trPr>
          <w:trHeight w:val="345"/>
        </w:trPr>
        <w:tc>
          <w:tcPr>
            <w:tcW w:w="0" w:type="auto"/>
            <w:vMerge/>
            <w:tcBorders>
              <w:top w:val="nil"/>
              <w:left w:val="nil"/>
              <w:bottom w:val="single" w:sz="8" w:space="0" w:color="000000"/>
              <w:right w:val="nil"/>
            </w:tcBorders>
            <w:vAlign w:val="center"/>
            <w:hideMark/>
          </w:tcPr>
          <w:p w14:paraId="2273756B"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426C4211"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Item Mem. – Neutral Background</w:t>
            </w:r>
          </w:p>
        </w:tc>
        <w:tc>
          <w:tcPr>
            <w:tcW w:w="860" w:type="dxa"/>
            <w:noWrap/>
            <w:vAlign w:val="center"/>
          </w:tcPr>
          <w:p w14:paraId="4E2F68DB" w14:textId="511A844F"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-0.0442</w:t>
            </w:r>
          </w:p>
        </w:tc>
        <w:tc>
          <w:tcPr>
            <w:tcW w:w="860" w:type="dxa"/>
            <w:noWrap/>
            <w:vAlign w:val="center"/>
          </w:tcPr>
          <w:p w14:paraId="0BD67BDE" w14:textId="0152AC2F"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0.7905</w:t>
            </w:r>
          </w:p>
        </w:tc>
        <w:tc>
          <w:tcPr>
            <w:tcW w:w="1960" w:type="dxa"/>
            <w:noWrap/>
            <w:vAlign w:val="center"/>
            <w:hideMark/>
          </w:tcPr>
          <w:p w14:paraId="3E5AB31D" w14:textId="537C4271"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[-0.0661</w:t>
            </w:r>
            <w:r w:rsidR="00AC3C85" w:rsidRPr="00AC3C85">
              <w:rPr>
                <w:rFonts w:ascii="Calibri" w:eastAsia="Times New Roman" w:hAnsi="Calibri" w:cs="Calibri"/>
                <w:sz w:val="18"/>
                <w:szCs w:val="18"/>
              </w:rPr>
              <w:t>,</w:t>
            </w:r>
            <w:r w:rsidRPr="00AC3C85">
              <w:rPr>
                <w:rFonts w:ascii="Calibri" w:eastAsia="Times New Roman" w:hAnsi="Calibri" w:cs="Calibri"/>
                <w:sz w:val="18"/>
                <w:szCs w:val="18"/>
              </w:rPr>
              <w:t xml:space="preserve"> -0.0223]</w:t>
            </w:r>
          </w:p>
        </w:tc>
        <w:tc>
          <w:tcPr>
            <w:tcW w:w="965" w:type="dxa"/>
            <w:noWrap/>
            <w:vAlign w:val="center"/>
            <w:hideMark/>
          </w:tcPr>
          <w:p w14:paraId="3896339B" w14:textId="332456E8" w:rsidR="00585A57" w:rsidRDefault="00585A57" w:rsidP="00AC3C8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lang w:eastAsia="en-AU"/>
              </w:rPr>
              <w:t>*</w:t>
            </w:r>
            <w:r w:rsidRPr="00D802FC">
              <w:rPr>
                <w:rFonts w:ascii="Calibri" w:eastAsia="Times New Roman" w:hAnsi="Calibri" w:cs="Calibri"/>
                <w:color w:val="000000"/>
                <w:sz w:val="18"/>
                <w:szCs w:val="18"/>
                <w:lang w:eastAsia="en-AU"/>
              </w:rPr>
              <w:t>0.023</w:t>
            </w:r>
          </w:p>
        </w:tc>
      </w:tr>
      <w:tr w:rsidR="00585A57" w14:paraId="035CBB5F" w14:textId="77777777" w:rsidTr="00AC3C85">
        <w:trPr>
          <w:trHeight w:val="345"/>
        </w:trPr>
        <w:tc>
          <w:tcPr>
            <w:tcW w:w="0" w:type="auto"/>
            <w:vMerge/>
            <w:tcBorders>
              <w:top w:val="nil"/>
              <w:left w:val="nil"/>
              <w:bottom w:val="single" w:sz="8" w:space="0" w:color="000000"/>
              <w:right w:val="nil"/>
            </w:tcBorders>
            <w:vAlign w:val="center"/>
            <w:hideMark/>
          </w:tcPr>
          <w:p w14:paraId="2F959FAB"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1A1B3ADD"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Item Mem. – Negative Background</w:t>
            </w:r>
          </w:p>
        </w:tc>
        <w:tc>
          <w:tcPr>
            <w:tcW w:w="860" w:type="dxa"/>
            <w:noWrap/>
            <w:vAlign w:val="center"/>
          </w:tcPr>
          <w:p w14:paraId="21ADFEAA" w14:textId="6853927D"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-0.044</w:t>
            </w:r>
            <w:r w:rsidR="00AC3C85" w:rsidRPr="00AC3C85">
              <w:rPr>
                <w:rFonts w:ascii="Calibri" w:eastAsia="Times New Roman" w:hAnsi="Calibri" w:cs="Calibri"/>
                <w:sz w:val="18"/>
                <w:szCs w:val="18"/>
              </w:rPr>
              <w:t>6</w:t>
            </w:r>
          </w:p>
        </w:tc>
        <w:tc>
          <w:tcPr>
            <w:tcW w:w="860" w:type="dxa"/>
            <w:noWrap/>
            <w:vAlign w:val="center"/>
          </w:tcPr>
          <w:p w14:paraId="2B0F7316" w14:textId="6927B87F"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0.7914</w:t>
            </w:r>
          </w:p>
        </w:tc>
        <w:tc>
          <w:tcPr>
            <w:tcW w:w="1960" w:type="dxa"/>
            <w:noWrap/>
            <w:vAlign w:val="center"/>
            <w:hideMark/>
          </w:tcPr>
          <w:p w14:paraId="0ABED6BB" w14:textId="64A6898C"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-0.0665</w:t>
            </w:r>
            <w:r w:rsidR="00AC3C85" w:rsidRPr="00AC3C85">
              <w:rPr>
                <w:rFonts w:ascii="Calibri" w:eastAsia="Times New Roman" w:hAnsi="Calibri" w:cs="Calibri"/>
                <w:sz w:val="18"/>
                <w:szCs w:val="18"/>
              </w:rPr>
              <w:t>,</w:t>
            </w:r>
            <w:r w:rsidR="006A4D64" w:rsidRPr="00AC3C85">
              <w:rPr>
                <w:rFonts w:ascii="Calibri" w:eastAsia="Times New Roman" w:hAnsi="Calibri" w:cs="Calibri"/>
                <w:sz w:val="18"/>
                <w:szCs w:val="18"/>
              </w:rPr>
              <w:t xml:space="preserve"> -0.022</w:t>
            </w:r>
            <w:r w:rsidR="00AC3C85" w:rsidRPr="00AC3C85">
              <w:rPr>
                <w:rFonts w:ascii="Calibri" w:eastAsia="Times New Roman" w:hAnsi="Calibri" w:cs="Calibri"/>
                <w:sz w:val="18"/>
                <w:szCs w:val="18"/>
              </w:rPr>
              <w:t>7</w:t>
            </w:r>
            <w:r w:rsidRPr="00AC3C85">
              <w:rPr>
                <w:rFonts w:ascii="Calibri" w:eastAsia="Times New Roman" w:hAnsi="Calibri" w:cs="Calibri"/>
                <w:sz w:val="18"/>
                <w:szCs w:val="18"/>
              </w:rPr>
              <w:t>]</w:t>
            </w:r>
          </w:p>
        </w:tc>
        <w:tc>
          <w:tcPr>
            <w:tcW w:w="965" w:type="dxa"/>
            <w:noWrap/>
            <w:vAlign w:val="center"/>
            <w:hideMark/>
          </w:tcPr>
          <w:p w14:paraId="56407F33" w14:textId="31BD8F9A" w:rsidR="00585A57" w:rsidRDefault="00585A57" w:rsidP="00AC3C8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lang w:eastAsia="en-AU"/>
              </w:rPr>
              <w:t>*</w:t>
            </w:r>
            <w:r w:rsidRPr="00D802FC">
              <w:rPr>
                <w:rFonts w:ascii="Calibri" w:eastAsia="Times New Roman" w:hAnsi="Calibri" w:cs="Calibri"/>
                <w:color w:val="000000"/>
                <w:sz w:val="18"/>
                <w:szCs w:val="18"/>
                <w:lang w:eastAsia="en-AU"/>
              </w:rPr>
              <w:t>0.033</w:t>
            </w:r>
          </w:p>
        </w:tc>
      </w:tr>
      <w:tr w:rsidR="00585A57" w14:paraId="3194D06F" w14:textId="77777777" w:rsidTr="00AC3C85">
        <w:trPr>
          <w:trHeight w:val="345"/>
        </w:trPr>
        <w:tc>
          <w:tcPr>
            <w:tcW w:w="0" w:type="auto"/>
            <w:vMerge/>
            <w:tcBorders>
              <w:top w:val="nil"/>
              <w:left w:val="nil"/>
              <w:bottom w:val="single" w:sz="8" w:space="0" w:color="000000"/>
              <w:right w:val="nil"/>
            </w:tcBorders>
            <w:vAlign w:val="center"/>
            <w:hideMark/>
          </w:tcPr>
          <w:p w14:paraId="178CD7F2"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11452DBE"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Associative Mem. – Positive Background</w:t>
            </w:r>
          </w:p>
        </w:tc>
        <w:tc>
          <w:tcPr>
            <w:tcW w:w="860" w:type="dxa"/>
            <w:noWrap/>
            <w:vAlign w:val="center"/>
          </w:tcPr>
          <w:p w14:paraId="25F888CC" w14:textId="63F7A0BD"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-0.0511</w:t>
            </w:r>
          </w:p>
        </w:tc>
        <w:tc>
          <w:tcPr>
            <w:tcW w:w="860" w:type="dxa"/>
            <w:noWrap/>
            <w:vAlign w:val="center"/>
          </w:tcPr>
          <w:p w14:paraId="4AA4CB7B" w14:textId="2DDE6D8B"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0.8931</w:t>
            </w:r>
          </w:p>
        </w:tc>
        <w:tc>
          <w:tcPr>
            <w:tcW w:w="1960" w:type="dxa"/>
            <w:noWrap/>
            <w:vAlign w:val="center"/>
            <w:hideMark/>
          </w:tcPr>
          <w:p w14:paraId="2F1F1190" w14:textId="4B80203F"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-0.075</w:t>
            </w:r>
            <w:r w:rsidR="00AC3C85" w:rsidRPr="00AC3C85">
              <w:rPr>
                <w:rFonts w:ascii="Calibri" w:eastAsia="Times New Roman" w:hAnsi="Calibri" w:cs="Calibri"/>
                <w:sz w:val="18"/>
                <w:szCs w:val="18"/>
              </w:rPr>
              <w:t>9,</w:t>
            </w:r>
            <w:r w:rsidR="006A4D64" w:rsidRPr="00AC3C85">
              <w:rPr>
                <w:rFonts w:ascii="Calibri" w:eastAsia="Times New Roman" w:hAnsi="Calibri" w:cs="Calibri"/>
                <w:sz w:val="18"/>
                <w:szCs w:val="18"/>
              </w:rPr>
              <w:t xml:space="preserve"> -0.026</w:t>
            </w:r>
            <w:r w:rsidR="00AC3C85" w:rsidRPr="00AC3C85">
              <w:rPr>
                <w:rFonts w:ascii="Calibri" w:eastAsia="Times New Roman" w:hAnsi="Calibri" w:cs="Calibri"/>
                <w:sz w:val="18"/>
                <w:szCs w:val="18"/>
              </w:rPr>
              <w:t>5</w:t>
            </w:r>
            <w:r w:rsidRPr="00AC3C85">
              <w:rPr>
                <w:rFonts w:ascii="Calibri" w:eastAsia="Times New Roman" w:hAnsi="Calibri" w:cs="Calibri"/>
                <w:sz w:val="18"/>
                <w:szCs w:val="18"/>
              </w:rPr>
              <w:t>]</w:t>
            </w:r>
          </w:p>
        </w:tc>
        <w:tc>
          <w:tcPr>
            <w:tcW w:w="965" w:type="dxa"/>
            <w:noWrap/>
            <w:vAlign w:val="center"/>
            <w:hideMark/>
          </w:tcPr>
          <w:p w14:paraId="55F1A005" w14:textId="79FE6C98" w:rsidR="00585A57" w:rsidRDefault="00585A57" w:rsidP="00AC3C8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lang w:eastAsia="en-AU"/>
              </w:rPr>
              <w:t>*</w:t>
            </w:r>
            <w:r w:rsidRPr="00D802FC">
              <w:rPr>
                <w:rFonts w:ascii="Calibri" w:eastAsia="Times New Roman" w:hAnsi="Calibri" w:cs="Calibri"/>
                <w:color w:val="000000"/>
                <w:sz w:val="18"/>
                <w:szCs w:val="18"/>
                <w:lang w:eastAsia="en-AU"/>
              </w:rPr>
              <w:t>0.032</w:t>
            </w:r>
          </w:p>
        </w:tc>
      </w:tr>
      <w:tr w:rsidR="00585A57" w14:paraId="2F0B98D0" w14:textId="77777777" w:rsidTr="00AC3C85">
        <w:trPr>
          <w:trHeight w:val="345"/>
        </w:trPr>
        <w:tc>
          <w:tcPr>
            <w:tcW w:w="0" w:type="auto"/>
            <w:vMerge/>
            <w:tcBorders>
              <w:top w:val="nil"/>
              <w:left w:val="nil"/>
              <w:bottom w:val="single" w:sz="8" w:space="0" w:color="000000"/>
              <w:right w:val="nil"/>
            </w:tcBorders>
            <w:vAlign w:val="center"/>
            <w:hideMark/>
          </w:tcPr>
          <w:p w14:paraId="350D0C64" w14:textId="77777777" w:rsidR="00585A57" w:rsidRDefault="00585A57" w:rsidP="00585A57">
            <w:pPr>
              <w:spacing w:after="0"/>
              <w:rPr>
                <w:rFonts w:ascii="Calibri" w:eastAsia="Times New Roman" w:hAnsi="Calibri" w:cs="Calibri"/>
                <w:b/>
                <w:bCs/>
                <w:color w:val="000000"/>
                <w:sz w:val="18"/>
                <w:szCs w:val="18"/>
              </w:rPr>
            </w:pPr>
          </w:p>
        </w:tc>
        <w:tc>
          <w:tcPr>
            <w:tcW w:w="3500" w:type="dxa"/>
            <w:noWrap/>
            <w:vAlign w:val="center"/>
            <w:hideMark/>
          </w:tcPr>
          <w:p w14:paraId="50A1188A"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Associative Mem. – Neutral Background</w:t>
            </w:r>
          </w:p>
        </w:tc>
        <w:tc>
          <w:tcPr>
            <w:tcW w:w="860" w:type="dxa"/>
            <w:noWrap/>
            <w:vAlign w:val="center"/>
          </w:tcPr>
          <w:p w14:paraId="4F375986" w14:textId="0D61FD29"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-0.0497</w:t>
            </w:r>
          </w:p>
        </w:tc>
        <w:tc>
          <w:tcPr>
            <w:tcW w:w="860" w:type="dxa"/>
            <w:noWrap/>
            <w:vAlign w:val="center"/>
          </w:tcPr>
          <w:p w14:paraId="19723908" w14:textId="66FF0DDD"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0.8733</w:t>
            </w:r>
          </w:p>
        </w:tc>
        <w:tc>
          <w:tcPr>
            <w:tcW w:w="1960" w:type="dxa"/>
            <w:noWrap/>
            <w:vAlign w:val="center"/>
            <w:hideMark/>
          </w:tcPr>
          <w:p w14:paraId="4E02A918" w14:textId="6ED23494"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-0.0739</w:t>
            </w:r>
            <w:r w:rsidR="00AC3C85" w:rsidRPr="00AC3C85">
              <w:rPr>
                <w:rFonts w:ascii="Calibri" w:eastAsia="Times New Roman" w:hAnsi="Calibri" w:cs="Calibri"/>
                <w:sz w:val="18"/>
                <w:szCs w:val="18"/>
              </w:rPr>
              <w:t>,</w:t>
            </w:r>
            <w:r w:rsidR="006A4D64" w:rsidRPr="00AC3C85">
              <w:rPr>
                <w:rFonts w:ascii="Calibri" w:eastAsia="Times New Roman" w:hAnsi="Calibri" w:cs="Calibri"/>
                <w:sz w:val="18"/>
                <w:szCs w:val="18"/>
              </w:rPr>
              <w:t xml:space="preserve"> -0.025</w:t>
            </w:r>
            <w:r w:rsidR="00AC3C85" w:rsidRPr="00AC3C85">
              <w:rPr>
                <w:rFonts w:ascii="Calibri" w:eastAsia="Times New Roman" w:hAnsi="Calibri" w:cs="Calibri"/>
                <w:sz w:val="18"/>
                <w:szCs w:val="18"/>
              </w:rPr>
              <w:t>5</w:t>
            </w:r>
            <w:r w:rsidRPr="00AC3C85">
              <w:rPr>
                <w:rFonts w:ascii="Calibri" w:eastAsia="Times New Roman" w:hAnsi="Calibri" w:cs="Calibri"/>
                <w:sz w:val="18"/>
                <w:szCs w:val="18"/>
              </w:rPr>
              <w:t>]</w:t>
            </w:r>
          </w:p>
        </w:tc>
        <w:tc>
          <w:tcPr>
            <w:tcW w:w="965" w:type="dxa"/>
            <w:noWrap/>
            <w:vAlign w:val="center"/>
            <w:hideMark/>
          </w:tcPr>
          <w:p w14:paraId="571DD89B" w14:textId="78E8BAC5" w:rsidR="00585A57" w:rsidRDefault="00585A57" w:rsidP="00AC3C8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lang w:eastAsia="en-AU"/>
              </w:rPr>
              <w:t>*</w:t>
            </w:r>
            <w:r w:rsidRPr="00D802FC">
              <w:rPr>
                <w:rFonts w:ascii="Calibri" w:eastAsia="Times New Roman" w:hAnsi="Calibri" w:cs="Calibri"/>
                <w:color w:val="000000"/>
                <w:sz w:val="18"/>
                <w:szCs w:val="18"/>
                <w:lang w:eastAsia="en-AU"/>
              </w:rPr>
              <w:t>0.003</w:t>
            </w:r>
          </w:p>
        </w:tc>
      </w:tr>
      <w:tr w:rsidR="00585A57" w14:paraId="09BD3D45" w14:textId="77777777" w:rsidTr="00AC3C85">
        <w:trPr>
          <w:trHeight w:val="345"/>
        </w:trPr>
        <w:tc>
          <w:tcPr>
            <w:tcW w:w="0" w:type="auto"/>
            <w:vMerge/>
            <w:tcBorders>
              <w:top w:val="nil"/>
              <w:left w:val="nil"/>
              <w:bottom w:val="single" w:sz="8" w:space="0" w:color="000000"/>
              <w:right w:val="nil"/>
            </w:tcBorders>
            <w:vAlign w:val="center"/>
            <w:hideMark/>
          </w:tcPr>
          <w:p w14:paraId="6AF2299E" w14:textId="77777777" w:rsidR="00585A57" w:rsidRDefault="00585A57" w:rsidP="00585A57">
            <w:pPr>
              <w:spacing w:after="0"/>
              <w:rPr>
                <w:rFonts w:ascii="Calibri" w:eastAsia="Times New Roman" w:hAnsi="Calibri" w:cs="Calibri"/>
                <w:b/>
                <w:bCs/>
                <w:color w:val="000000"/>
                <w:sz w:val="18"/>
                <w:szCs w:val="18"/>
              </w:rPr>
            </w:pPr>
          </w:p>
        </w:tc>
        <w:tc>
          <w:tcPr>
            <w:tcW w:w="3500" w:type="dxa"/>
            <w:tcBorders>
              <w:top w:val="nil"/>
              <w:left w:val="nil"/>
              <w:bottom w:val="single" w:sz="8" w:space="0" w:color="auto"/>
              <w:right w:val="nil"/>
            </w:tcBorders>
            <w:noWrap/>
            <w:vAlign w:val="center"/>
            <w:hideMark/>
          </w:tcPr>
          <w:p w14:paraId="67338C3B" w14:textId="77777777" w:rsidR="00585A57" w:rsidRPr="00AC3C85" w:rsidRDefault="00585A57" w:rsidP="00AC3C85">
            <w:pPr>
              <w:spacing w:after="0" w:line="240" w:lineRule="auto"/>
              <w:rPr>
                <w:rFonts w:ascii="Calibri" w:eastAsia="Times New Roman" w:hAnsi="Calibri" w:cs="Calibri"/>
                <w:sz w:val="18"/>
                <w:szCs w:val="18"/>
              </w:rPr>
            </w:pPr>
            <w:r w:rsidRPr="00AC3C85">
              <w:rPr>
                <w:rFonts w:ascii="Calibri" w:eastAsia="Times New Roman" w:hAnsi="Calibri" w:cs="Calibri"/>
                <w:sz w:val="18"/>
                <w:szCs w:val="18"/>
              </w:rPr>
              <w:t>Associative Mem. – Negative Background</w:t>
            </w:r>
          </w:p>
        </w:tc>
        <w:tc>
          <w:tcPr>
            <w:tcW w:w="860" w:type="dxa"/>
            <w:tcBorders>
              <w:top w:val="nil"/>
              <w:left w:val="nil"/>
              <w:bottom w:val="single" w:sz="8" w:space="0" w:color="auto"/>
              <w:right w:val="nil"/>
            </w:tcBorders>
            <w:noWrap/>
            <w:vAlign w:val="center"/>
          </w:tcPr>
          <w:p w14:paraId="3F979AC3" w14:textId="2D1C3F9A"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-0.053</w:t>
            </w:r>
            <w:r w:rsidR="00AC3C85" w:rsidRPr="00AC3C85">
              <w:rPr>
                <w:rFonts w:ascii="Calibri" w:eastAsia="Times New Roman" w:hAnsi="Calibri" w:cs="Calibri"/>
                <w:sz w:val="18"/>
                <w:szCs w:val="18"/>
              </w:rPr>
              <w:t>4</w:t>
            </w:r>
          </w:p>
        </w:tc>
        <w:tc>
          <w:tcPr>
            <w:tcW w:w="860" w:type="dxa"/>
            <w:tcBorders>
              <w:top w:val="nil"/>
              <w:left w:val="nil"/>
              <w:bottom w:val="single" w:sz="8" w:space="0" w:color="auto"/>
              <w:right w:val="nil"/>
            </w:tcBorders>
            <w:noWrap/>
            <w:vAlign w:val="center"/>
          </w:tcPr>
          <w:p w14:paraId="3618F0D3" w14:textId="2E0E016D" w:rsidR="00585A57" w:rsidRPr="00AC3C85" w:rsidRDefault="006A4D64"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0.93</w:t>
            </w:r>
            <w:r w:rsidR="00AC3C85" w:rsidRPr="00AC3C85">
              <w:rPr>
                <w:rFonts w:ascii="Calibri" w:eastAsia="Times New Roman" w:hAnsi="Calibri" w:cs="Calibri"/>
                <w:sz w:val="18"/>
                <w:szCs w:val="18"/>
              </w:rPr>
              <w:t>10</w:t>
            </w:r>
          </w:p>
        </w:tc>
        <w:tc>
          <w:tcPr>
            <w:tcW w:w="1960" w:type="dxa"/>
            <w:tcBorders>
              <w:top w:val="nil"/>
              <w:left w:val="nil"/>
              <w:bottom w:val="single" w:sz="8" w:space="0" w:color="auto"/>
              <w:right w:val="nil"/>
            </w:tcBorders>
            <w:noWrap/>
            <w:vAlign w:val="center"/>
            <w:hideMark/>
          </w:tcPr>
          <w:p w14:paraId="75DB9B27" w14:textId="28CBBD24" w:rsidR="00585A57" w:rsidRPr="00AC3C85" w:rsidRDefault="00585A57" w:rsidP="00AC3C85">
            <w:pPr>
              <w:spacing w:after="0" w:line="240" w:lineRule="auto"/>
              <w:jc w:val="center"/>
              <w:rPr>
                <w:rFonts w:ascii="Calibri" w:eastAsia="Times New Roman" w:hAnsi="Calibri" w:cs="Calibri"/>
                <w:sz w:val="18"/>
                <w:szCs w:val="18"/>
              </w:rPr>
            </w:pPr>
            <w:r w:rsidRPr="00AC3C85">
              <w:rPr>
                <w:rFonts w:ascii="Calibri" w:eastAsia="Times New Roman" w:hAnsi="Calibri" w:cs="Calibri"/>
                <w:sz w:val="18"/>
                <w:szCs w:val="18"/>
              </w:rPr>
              <w:t>[</w:t>
            </w:r>
            <w:r w:rsidR="006A4D64" w:rsidRPr="00AC3C85">
              <w:rPr>
                <w:rFonts w:ascii="Calibri" w:eastAsia="Times New Roman" w:hAnsi="Calibri" w:cs="Calibri"/>
                <w:sz w:val="18"/>
                <w:szCs w:val="18"/>
              </w:rPr>
              <w:t>-0.0794</w:t>
            </w:r>
            <w:r w:rsidR="00AC3C85" w:rsidRPr="00AC3C85">
              <w:rPr>
                <w:rFonts w:ascii="Calibri" w:eastAsia="Times New Roman" w:hAnsi="Calibri" w:cs="Calibri"/>
                <w:sz w:val="18"/>
                <w:szCs w:val="18"/>
              </w:rPr>
              <w:t>,</w:t>
            </w:r>
            <w:r w:rsidR="006A4D64" w:rsidRPr="00AC3C85">
              <w:rPr>
                <w:rFonts w:ascii="Calibri" w:eastAsia="Times New Roman" w:hAnsi="Calibri" w:cs="Calibri"/>
                <w:sz w:val="18"/>
                <w:szCs w:val="18"/>
              </w:rPr>
              <w:t xml:space="preserve"> -0.027</w:t>
            </w:r>
            <w:r w:rsidR="00AC3C85" w:rsidRPr="00AC3C85">
              <w:rPr>
                <w:rFonts w:ascii="Calibri" w:eastAsia="Times New Roman" w:hAnsi="Calibri" w:cs="Calibri"/>
                <w:sz w:val="18"/>
                <w:szCs w:val="18"/>
              </w:rPr>
              <w:t>3</w:t>
            </w:r>
            <w:r w:rsidRPr="00AC3C85">
              <w:rPr>
                <w:rFonts w:ascii="Calibri" w:eastAsia="Times New Roman" w:hAnsi="Calibri" w:cs="Calibri"/>
                <w:sz w:val="18"/>
                <w:szCs w:val="18"/>
              </w:rPr>
              <w:t>]</w:t>
            </w:r>
          </w:p>
        </w:tc>
        <w:tc>
          <w:tcPr>
            <w:tcW w:w="965" w:type="dxa"/>
            <w:tcBorders>
              <w:top w:val="nil"/>
              <w:left w:val="nil"/>
              <w:bottom w:val="single" w:sz="8" w:space="0" w:color="auto"/>
              <w:right w:val="nil"/>
            </w:tcBorders>
            <w:noWrap/>
            <w:vAlign w:val="center"/>
            <w:hideMark/>
          </w:tcPr>
          <w:p w14:paraId="04DC1278" w14:textId="4D24EC62" w:rsidR="00585A57" w:rsidRDefault="00585A57" w:rsidP="00AC3C8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lang w:eastAsia="en-AU"/>
              </w:rPr>
              <w:t>*</w:t>
            </w:r>
            <w:r w:rsidRPr="00D802FC">
              <w:rPr>
                <w:rFonts w:ascii="Calibri" w:eastAsia="Times New Roman" w:hAnsi="Calibri" w:cs="Calibri"/>
                <w:color w:val="000000"/>
                <w:sz w:val="18"/>
                <w:szCs w:val="18"/>
                <w:lang w:eastAsia="en-AU"/>
              </w:rPr>
              <w:t>0.002</w:t>
            </w:r>
          </w:p>
        </w:tc>
      </w:tr>
    </w:tbl>
    <w:p w14:paraId="71F02C6B" w14:textId="57934951" w:rsidR="00003D3E" w:rsidRPr="00426E09" w:rsidRDefault="00003D3E" w:rsidP="00585A57">
      <w:pPr>
        <w:spacing w:line="360" w:lineRule="auto"/>
        <w:jc w:val="both"/>
        <w:rPr>
          <w:rFonts w:cstheme="minorHAnsi"/>
          <w:color w:val="000000" w:themeColor="text1"/>
        </w:rPr>
      </w:pPr>
    </w:p>
    <w:sectPr w:rsidR="00003D3E" w:rsidRPr="00426E09" w:rsidSect="00251098">
      <w:pgSz w:w="12240" w:h="15840"/>
      <w:pgMar w:top="1440" w:right="153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210"/>
    <w:rsid w:val="00003D3E"/>
    <w:rsid w:val="00074539"/>
    <w:rsid w:val="00083E05"/>
    <w:rsid w:val="000C69DF"/>
    <w:rsid w:val="00100796"/>
    <w:rsid w:val="00110B31"/>
    <w:rsid w:val="00127210"/>
    <w:rsid w:val="00130878"/>
    <w:rsid w:val="00151424"/>
    <w:rsid w:val="00193AEA"/>
    <w:rsid w:val="001D50B7"/>
    <w:rsid w:val="001E45D6"/>
    <w:rsid w:val="00212420"/>
    <w:rsid w:val="0023492B"/>
    <w:rsid w:val="00251098"/>
    <w:rsid w:val="002F219D"/>
    <w:rsid w:val="00306407"/>
    <w:rsid w:val="003122DA"/>
    <w:rsid w:val="003268FA"/>
    <w:rsid w:val="00385921"/>
    <w:rsid w:val="003A0391"/>
    <w:rsid w:val="003C115A"/>
    <w:rsid w:val="003C76B2"/>
    <w:rsid w:val="003E35DE"/>
    <w:rsid w:val="003E4229"/>
    <w:rsid w:val="003F1E9B"/>
    <w:rsid w:val="004219C0"/>
    <w:rsid w:val="0043410D"/>
    <w:rsid w:val="00444C3C"/>
    <w:rsid w:val="00467101"/>
    <w:rsid w:val="00482362"/>
    <w:rsid w:val="00485922"/>
    <w:rsid w:val="00492A64"/>
    <w:rsid w:val="004A300B"/>
    <w:rsid w:val="004F4E10"/>
    <w:rsid w:val="00530AD7"/>
    <w:rsid w:val="00537056"/>
    <w:rsid w:val="00543F7D"/>
    <w:rsid w:val="005737BD"/>
    <w:rsid w:val="0057539B"/>
    <w:rsid w:val="00585A57"/>
    <w:rsid w:val="005B4B54"/>
    <w:rsid w:val="00695F19"/>
    <w:rsid w:val="00696A8B"/>
    <w:rsid w:val="006A4D64"/>
    <w:rsid w:val="006E1434"/>
    <w:rsid w:val="00711830"/>
    <w:rsid w:val="00715E73"/>
    <w:rsid w:val="0076577E"/>
    <w:rsid w:val="0078196A"/>
    <w:rsid w:val="007C234C"/>
    <w:rsid w:val="00820BF1"/>
    <w:rsid w:val="00865952"/>
    <w:rsid w:val="008A7E2C"/>
    <w:rsid w:val="008D25C4"/>
    <w:rsid w:val="009938CF"/>
    <w:rsid w:val="009B10A2"/>
    <w:rsid w:val="009B50BF"/>
    <w:rsid w:val="00A22CDC"/>
    <w:rsid w:val="00A44C6B"/>
    <w:rsid w:val="00A57F55"/>
    <w:rsid w:val="00A9710F"/>
    <w:rsid w:val="00AC3C85"/>
    <w:rsid w:val="00AD2F29"/>
    <w:rsid w:val="00AD4794"/>
    <w:rsid w:val="00AE485A"/>
    <w:rsid w:val="00AF0B88"/>
    <w:rsid w:val="00B15CF9"/>
    <w:rsid w:val="00B34487"/>
    <w:rsid w:val="00B627B0"/>
    <w:rsid w:val="00BD72E3"/>
    <w:rsid w:val="00C045BB"/>
    <w:rsid w:val="00C1599B"/>
    <w:rsid w:val="00C453D6"/>
    <w:rsid w:val="00C51CD8"/>
    <w:rsid w:val="00C62E43"/>
    <w:rsid w:val="00CE3D34"/>
    <w:rsid w:val="00CE6210"/>
    <w:rsid w:val="00D024A6"/>
    <w:rsid w:val="00D0373A"/>
    <w:rsid w:val="00D514CB"/>
    <w:rsid w:val="00D61B03"/>
    <w:rsid w:val="00D72C2C"/>
    <w:rsid w:val="00D802FC"/>
    <w:rsid w:val="00D8324C"/>
    <w:rsid w:val="00E1568A"/>
    <w:rsid w:val="00E8538C"/>
    <w:rsid w:val="00EA76C2"/>
    <w:rsid w:val="00EB175A"/>
    <w:rsid w:val="00ED1D4B"/>
    <w:rsid w:val="00FB4977"/>
    <w:rsid w:val="00FE16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72BC"/>
  <w15:chartTrackingRefBased/>
  <w15:docId w15:val="{B4405680-F3F6-4D21-A37C-7830E0FB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122DA"/>
    <w:pPr>
      <w:spacing w:after="0" w:line="240" w:lineRule="auto"/>
    </w:pPr>
  </w:style>
  <w:style w:type="paragraph" w:styleId="ListParagraph">
    <w:name w:val="List Paragraph"/>
    <w:basedOn w:val="Normal"/>
    <w:uiPriority w:val="34"/>
    <w:qFormat/>
    <w:rsid w:val="004A300B"/>
    <w:pPr>
      <w:ind w:left="720"/>
      <w:contextualSpacing/>
    </w:pPr>
  </w:style>
  <w:style w:type="character" w:styleId="CommentReference">
    <w:name w:val="annotation reference"/>
    <w:basedOn w:val="DefaultParagraphFont"/>
    <w:uiPriority w:val="99"/>
    <w:semiHidden/>
    <w:unhideWhenUsed/>
    <w:rsid w:val="007C234C"/>
    <w:rPr>
      <w:sz w:val="16"/>
      <w:szCs w:val="16"/>
    </w:rPr>
  </w:style>
  <w:style w:type="paragraph" w:styleId="CommentText">
    <w:name w:val="annotation text"/>
    <w:basedOn w:val="Normal"/>
    <w:link w:val="CommentTextChar"/>
    <w:uiPriority w:val="99"/>
    <w:semiHidden/>
    <w:unhideWhenUsed/>
    <w:rsid w:val="007C234C"/>
    <w:pPr>
      <w:spacing w:line="240" w:lineRule="auto"/>
    </w:pPr>
    <w:rPr>
      <w:sz w:val="20"/>
      <w:szCs w:val="20"/>
    </w:rPr>
  </w:style>
  <w:style w:type="character" w:customStyle="1" w:styleId="CommentTextChar">
    <w:name w:val="Comment Text Char"/>
    <w:basedOn w:val="DefaultParagraphFont"/>
    <w:link w:val="CommentText"/>
    <w:uiPriority w:val="99"/>
    <w:semiHidden/>
    <w:rsid w:val="007C234C"/>
    <w:rPr>
      <w:sz w:val="20"/>
      <w:szCs w:val="20"/>
    </w:rPr>
  </w:style>
  <w:style w:type="paragraph" w:styleId="CommentSubject">
    <w:name w:val="annotation subject"/>
    <w:basedOn w:val="CommentText"/>
    <w:next w:val="CommentText"/>
    <w:link w:val="CommentSubjectChar"/>
    <w:uiPriority w:val="99"/>
    <w:semiHidden/>
    <w:unhideWhenUsed/>
    <w:rsid w:val="007C234C"/>
    <w:rPr>
      <w:b/>
      <w:bCs/>
    </w:rPr>
  </w:style>
  <w:style w:type="character" w:customStyle="1" w:styleId="CommentSubjectChar">
    <w:name w:val="Comment Subject Char"/>
    <w:basedOn w:val="CommentTextChar"/>
    <w:link w:val="CommentSubject"/>
    <w:uiPriority w:val="99"/>
    <w:semiHidden/>
    <w:rsid w:val="007C23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3745">
      <w:bodyDiv w:val="1"/>
      <w:marLeft w:val="0"/>
      <w:marRight w:val="0"/>
      <w:marTop w:val="0"/>
      <w:marBottom w:val="0"/>
      <w:divBdr>
        <w:top w:val="none" w:sz="0" w:space="0" w:color="auto"/>
        <w:left w:val="none" w:sz="0" w:space="0" w:color="auto"/>
        <w:bottom w:val="none" w:sz="0" w:space="0" w:color="auto"/>
        <w:right w:val="none" w:sz="0" w:space="0" w:color="auto"/>
      </w:divBdr>
    </w:div>
    <w:div w:id="785271673">
      <w:bodyDiv w:val="1"/>
      <w:marLeft w:val="0"/>
      <w:marRight w:val="0"/>
      <w:marTop w:val="0"/>
      <w:marBottom w:val="0"/>
      <w:divBdr>
        <w:top w:val="none" w:sz="0" w:space="0" w:color="auto"/>
        <w:left w:val="none" w:sz="0" w:space="0" w:color="auto"/>
        <w:bottom w:val="none" w:sz="0" w:space="0" w:color="auto"/>
        <w:right w:val="none" w:sz="0" w:space="0" w:color="auto"/>
      </w:divBdr>
    </w:div>
    <w:div w:id="1201894264">
      <w:bodyDiv w:val="1"/>
      <w:marLeft w:val="0"/>
      <w:marRight w:val="0"/>
      <w:marTop w:val="0"/>
      <w:marBottom w:val="0"/>
      <w:divBdr>
        <w:top w:val="none" w:sz="0" w:space="0" w:color="auto"/>
        <w:left w:val="none" w:sz="0" w:space="0" w:color="auto"/>
        <w:bottom w:val="none" w:sz="0" w:space="0" w:color="auto"/>
        <w:right w:val="none" w:sz="0" w:space="0" w:color="auto"/>
      </w:divBdr>
    </w:div>
    <w:div w:id="1578399160">
      <w:bodyDiv w:val="1"/>
      <w:marLeft w:val="0"/>
      <w:marRight w:val="0"/>
      <w:marTop w:val="0"/>
      <w:marBottom w:val="0"/>
      <w:divBdr>
        <w:top w:val="none" w:sz="0" w:space="0" w:color="auto"/>
        <w:left w:val="none" w:sz="0" w:space="0" w:color="auto"/>
        <w:bottom w:val="none" w:sz="0" w:space="0" w:color="auto"/>
        <w:right w:val="none" w:sz="0" w:space="0" w:color="auto"/>
      </w:divBdr>
    </w:div>
    <w:div w:id="195790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9DC8B-7EDB-4D0B-A464-C395BBDD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Tiago Guardia de Souza e Silva</dc:creator>
  <cp:keywords/>
  <dc:description/>
  <cp:lastModifiedBy>Tiago Guardia de Souza e Silva</cp:lastModifiedBy>
  <cp:revision>4</cp:revision>
  <dcterms:created xsi:type="dcterms:W3CDTF">2023-01-26T19:37:00Z</dcterms:created>
  <dcterms:modified xsi:type="dcterms:W3CDTF">2023-01-26T20:00:00Z</dcterms:modified>
</cp:coreProperties>
</file>